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368A8" w14:textId="77777777" w:rsidR="008629FB" w:rsidRPr="008629FB" w:rsidRDefault="003C123A" w:rsidP="008629FB">
      <w:pPr>
        <w:widowControl w:val="0"/>
        <w:pBdr>
          <w:bottom w:val="single" w:sz="4" w:space="1" w:color="016B95"/>
        </w:pBdr>
        <w:spacing w:before="24" w:after="60" w:line="274" w:lineRule="auto"/>
        <w:ind w:left="981" w:firstLine="720"/>
        <w:jc w:val="right"/>
        <w:rPr>
          <w:rFonts w:ascii="Calibri" w:hAnsi="Calibri"/>
          <w:color w:val="000000"/>
          <w:sz w:val="20"/>
        </w:rPr>
      </w:pPr>
      <w:r w:rsidRPr="008629FB">
        <w:rPr>
          <w:rFonts w:ascii="Calibri" w:hAnsi="Calibri"/>
          <w:b/>
          <w:bCs/>
          <w:noProof/>
          <w:lang w:eastAsia="en-GB"/>
        </w:rPr>
        <w:drawing>
          <wp:anchor distT="0" distB="0" distL="114300" distR="114300" simplePos="0" relativeHeight="251657728" behindDoc="0" locked="0" layoutInCell="1" allowOverlap="1" wp14:anchorId="319FDA97" wp14:editId="5C919F6E">
            <wp:simplePos x="0" y="0"/>
            <wp:positionH relativeFrom="column">
              <wp:posOffset>-285750</wp:posOffset>
            </wp:positionH>
            <wp:positionV relativeFrom="paragraph">
              <wp:posOffset>-499110</wp:posOffset>
            </wp:positionV>
            <wp:extent cx="924560" cy="1143000"/>
            <wp:effectExtent l="0" t="0" r="0" b="0"/>
            <wp:wrapThrough wrapText="bothSides">
              <wp:wrapPolygon edited="0">
                <wp:start x="0" y="0"/>
                <wp:lineTo x="0" y="21240"/>
                <wp:lineTo x="21363" y="21240"/>
                <wp:lineTo x="21363" y="0"/>
                <wp:lineTo x="0" y="0"/>
              </wp:wrapPolygon>
            </wp:wrapThrough>
            <wp:docPr id="2"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456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29FB" w:rsidRPr="008629FB">
        <w:rPr>
          <w:rFonts w:ascii="Calibri" w:hAnsi="Calibri"/>
          <w:b/>
          <w:bCs/>
          <w:color w:val="006B9B"/>
          <w:sz w:val="44"/>
          <w:szCs w:val="44"/>
        </w:rPr>
        <w:t>COUNCIL OF THE ISLES OF SCILLY</w:t>
      </w:r>
    </w:p>
    <w:p w14:paraId="0042F2BF" w14:textId="77777777" w:rsidR="00BB0864" w:rsidRPr="00BB0864" w:rsidRDefault="00BB0864" w:rsidP="008629FB">
      <w:pPr>
        <w:pStyle w:val="Style14ptBoldCentered"/>
        <w:ind w:left="720"/>
        <w:rPr>
          <w:rStyle w:val="Style11ptBold"/>
        </w:rPr>
      </w:pPr>
    </w:p>
    <w:p w14:paraId="23673CCA" w14:textId="77777777" w:rsidR="008629FB" w:rsidRDefault="008629FB" w:rsidP="00BB0864">
      <w:pPr>
        <w:jc w:val="center"/>
        <w:rPr>
          <w:rFonts w:cs="Arial"/>
          <w:b/>
          <w:color w:val="3366FF"/>
          <w:sz w:val="32"/>
          <w:szCs w:val="32"/>
        </w:rPr>
      </w:pPr>
    </w:p>
    <w:p w14:paraId="4A93DC16" w14:textId="77777777" w:rsidR="00BB0864" w:rsidRDefault="00BB0864" w:rsidP="00BB0864">
      <w:pPr>
        <w:pStyle w:val="BodyText1"/>
        <w:spacing w:line="360" w:lineRule="auto"/>
        <w:jc w:val="center"/>
        <w:rPr>
          <w:rFonts w:cs="Arial"/>
          <w:b/>
          <w:lang w:val="en-GB"/>
        </w:rPr>
      </w:pPr>
    </w:p>
    <w:p w14:paraId="256F23E4" w14:textId="77777777" w:rsidR="00BB0864" w:rsidRPr="000E0EA9" w:rsidRDefault="00BB0864" w:rsidP="00BB0864">
      <w:pPr>
        <w:pStyle w:val="BodyText1"/>
        <w:spacing w:line="360" w:lineRule="auto"/>
        <w:jc w:val="center"/>
        <w:rPr>
          <w:rFonts w:cs="Arial"/>
          <w:b/>
          <w:lang w:val="en-GB"/>
        </w:rPr>
      </w:pPr>
    </w:p>
    <w:p w14:paraId="33C0AAE2" w14:textId="77777777" w:rsidR="00BB0864" w:rsidRPr="008629FB" w:rsidRDefault="00BB0864" w:rsidP="00BB0864">
      <w:pPr>
        <w:pStyle w:val="BodyText1"/>
        <w:spacing w:line="360" w:lineRule="auto"/>
        <w:jc w:val="center"/>
        <w:rPr>
          <w:rFonts w:ascii="Calibri" w:hAnsi="Calibri" w:cs="Arial"/>
          <w:b/>
          <w:sz w:val="32"/>
          <w:szCs w:val="32"/>
          <w:lang w:val="en-GB"/>
        </w:rPr>
      </w:pPr>
      <w:r w:rsidRPr="008629FB">
        <w:rPr>
          <w:rFonts w:ascii="Calibri" w:hAnsi="Calibri" w:cs="Arial"/>
          <w:b/>
          <w:sz w:val="32"/>
          <w:szCs w:val="32"/>
          <w:lang w:val="en-GB"/>
        </w:rPr>
        <w:t>INVITATION TO TENDER FOR</w:t>
      </w:r>
    </w:p>
    <w:p w14:paraId="01687DC4" w14:textId="77777777" w:rsidR="00BB0864" w:rsidRDefault="00163196" w:rsidP="00BB0864">
      <w:pPr>
        <w:spacing w:line="360" w:lineRule="auto"/>
        <w:ind w:firstLine="180"/>
        <w:jc w:val="center"/>
        <w:rPr>
          <w:rFonts w:ascii="Calibri" w:hAnsi="Calibri" w:cs="Arial"/>
          <w:b/>
          <w:color w:val="3366FF"/>
          <w:sz w:val="32"/>
          <w:szCs w:val="32"/>
          <w:lang w:eastAsia="en-GB"/>
        </w:rPr>
      </w:pPr>
      <w:r>
        <w:rPr>
          <w:rFonts w:ascii="Calibri" w:hAnsi="Calibri" w:cs="Arial"/>
          <w:b/>
          <w:color w:val="3366FF"/>
          <w:sz w:val="32"/>
          <w:szCs w:val="32"/>
          <w:lang w:eastAsia="en-GB"/>
        </w:rPr>
        <w:t xml:space="preserve">Provision of 1 x Rigid Inflatable Boat for </w:t>
      </w:r>
      <w:proofErr w:type="spellStart"/>
      <w:r>
        <w:rPr>
          <w:rFonts w:ascii="Calibri" w:hAnsi="Calibri" w:cs="Arial"/>
          <w:b/>
          <w:color w:val="3366FF"/>
          <w:sz w:val="32"/>
          <w:szCs w:val="32"/>
          <w:lang w:eastAsia="en-GB"/>
        </w:rPr>
        <w:t>IoS</w:t>
      </w:r>
      <w:proofErr w:type="spellEnd"/>
      <w:r>
        <w:rPr>
          <w:rFonts w:ascii="Calibri" w:hAnsi="Calibri" w:cs="Arial"/>
          <w:b/>
          <w:color w:val="3366FF"/>
          <w:sz w:val="32"/>
          <w:szCs w:val="32"/>
          <w:lang w:eastAsia="en-GB"/>
        </w:rPr>
        <w:t xml:space="preserve"> IFCA</w:t>
      </w:r>
    </w:p>
    <w:p w14:paraId="20AD7DA1" w14:textId="77777777" w:rsidR="00163196" w:rsidRDefault="00163196" w:rsidP="00163196">
      <w:pPr>
        <w:pStyle w:val="Normal1"/>
        <w:spacing w:before="120" w:after="120"/>
        <w:jc w:val="center"/>
      </w:pPr>
      <w:r>
        <w:rPr>
          <w:rFonts w:ascii="Calibri" w:hAnsi="Calibri" w:cs="Arial"/>
          <w:b/>
          <w:color w:val="3366FF"/>
          <w:sz w:val="32"/>
          <w:szCs w:val="32"/>
          <w:lang w:eastAsia="en-GB"/>
        </w:rPr>
        <w:t xml:space="preserve">Contract Reference Number: </w:t>
      </w:r>
      <w:r w:rsidRPr="00163196">
        <w:rPr>
          <w:rFonts w:ascii="Calibri" w:hAnsi="Calibri" w:cs="Arial"/>
          <w:b/>
          <w:color w:val="3366FF"/>
          <w:sz w:val="32"/>
          <w:szCs w:val="32"/>
          <w:lang w:eastAsia="en-GB"/>
        </w:rPr>
        <w:t>IRIB 1</w:t>
      </w:r>
      <w:r w:rsidR="00F2122E">
        <w:rPr>
          <w:rFonts w:ascii="Calibri" w:hAnsi="Calibri" w:cs="Arial"/>
          <w:b/>
          <w:color w:val="3366FF"/>
          <w:sz w:val="32"/>
          <w:szCs w:val="32"/>
          <w:lang w:eastAsia="en-GB"/>
        </w:rPr>
        <w:t>8200</w:t>
      </w:r>
      <w:r w:rsidRPr="00163196">
        <w:rPr>
          <w:rFonts w:ascii="Calibri" w:hAnsi="Calibri" w:cs="Arial"/>
          <w:b/>
          <w:color w:val="3366FF"/>
          <w:sz w:val="32"/>
          <w:szCs w:val="32"/>
          <w:lang w:eastAsia="en-GB"/>
        </w:rPr>
        <w:t>3</w:t>
      </w:r>
    </w:p>
    <w:p w14:paraId="3AB95086" w14:textId="77777777" w:rsidR="00163196" w:rsidRDefault="00163196" w:rsidP="00BB0864">
      <w:pPr>
        <w:spacing w:line="360" w:lineRule="auto"/>
        <w:ind w:firstLine="180"/>
        <w:jc w:val="center"/>
        <w:rPr>
          <w:rFonts w:ascii="Calibri" w:hAnsi="Calibri" w:cs="Arial"/>
          <w:b/>
          <w:color w:val="3366FF"/>
          <w:sz w:val="32"/>
          <w:szCs w:val="32"/>
          <w:lang w:eastAsia="en-GB"/>
        </w:rPr>
      </w:pPr>
    </w:p>
    <w:p w14:paraId="7252EB26" w14:textId="77777777" w:rsidR="009D3BA7" w:rsidRPr="008629FB" w:rsidRDefault="009D3BA7" w:rsidP="00BB0864">
      <w:pPr>
        <w:spacing w:line="360" w:lineRule="auto"/>
        <w:ind w:firstLine="180"/>
        <w:jc w:val="center"/>
        <w:rPr>
          <w:rFonts w:ascii="Calibri" w:hAnsi="Calibri" w:cs="Arial"/>
          <w:b/>
          <w:color w:val="3366FF"/>
          <w:sz w:val="32"/>
          <w:szCs w:val="32"/>
          <w:lang w:eastAsia="en-GB"/>
        </w:rPr>
      </w:pPr>
    </w:p>
    <w:p w14:paraId="7213F774" w14:textId="77777777" w:rsidR="00BB0864" w:rsidRPr="008629FB" w:rsidRDefault="00BB0864" w:rsidP="00BB0864">
      <w:pPr>
        <w:pStyle w:val="BodyText1"/>
        <w:spacing w:line="360" w:lineRule="auto"/>
        <w:jc w:val="center"/>
        <w:rPr>
          <w:rFonts w:ascii="Calibri" w:hAnsi="Calibri" w:cs="Arial"/>
          <w:b/>
          <w:lang w:val="en-GB"/>
        </w:rPr>
      </w:pPr>
    </w:p>
    <w:p w14:paraId="030917A7" w14:textId="77777777" w:rsidR="00BB0864" w:rsidRPr="008629FB" w:rsidRDefault="00BB0864" w:rsidP="00BB0864">
      <w:pPr>
        <w:pStyle w:val="BodyText1"/>
        <w:spacing w:line="360" w:lineRule="auto"/>
        <w:jc w:val="center"/>
        <w:rPr>
          <w:rFonts w:ascii="Calibri" w:hAnsi="Calibri" w:cs="Arial"/>
          <w:b/>
          <w:lang w:val="en-GB"/>
        </w:rPr>
      </w:pPr>
    </w:p>
    <w:p w14:paraId="0EDD148C" w14:textId="77777777" w:rsidR="00BB0864" w:rsidRPr="008629FB" w:rsidRDefault="00BB0864" w:rsidP="00BB0864">
      <w:pPr>
        <w:pStyle w:val="BodyText1"/>
        <w:spacing w:line="360" w:lineRule="auto"/>
        <w:jc w:val="center"/>
        <w:rPr>
          <w:rFonts w:ascii="Calibri" w:hAnsi="Calibri" w:cs="Arial"/>
          <w:b/>
          <w:lang w:val="en-GB"/>
        </w:rPr>
      </w:pPr>
    </w:p>
    <w:p w14:paraId="5269FF26" w14:textId="77777777" w:rsidR="00BB0864" w:rsidRPr="008629FB" w:rsidRDefault="00BB0864" w:rsidP="00BB0864">
      <w:pPr>
        <w:jc w:val="center"/>
        <w:rPr>
          <w:rFonts w:ascii="Calibri" w:hAnsi="Calibri" w:cs="Arial"/>
          <w:bCs/>
          <w:color w:val="3366FF"/>
          <w:szCs w:val="24"/>
        </w:rPr>
      </w:pPr>
    </w:p>
    <w:p w14:paraId="476E3FCD" w14:textId="77777777" w:rsidR="00BB0864" w:rsidRPr="00A25BB6" w:rsidRDefault="00BB0864" w:rsidP="00C22F91">
      <w:pPr>
        <w:pStyle w:val="Style11ptBoldCentered"/>
      </w:pPr>
    </w:p>
    <w:p w14:paraId="6B9283FF" w14:textId="77777777" w:rsidR="00BB0864" w:rsidRPr="00A25BB6" w:rsidRDefault="00BB0864" w:rsidP="00C22F91">
      <w:pPr>
        <w:pStyle w:val="Style11ptBoldCentered"/>
      </w:pPr>
    </w:p>
    <w:p w14:paraId="6EDEB662" w14:textId="77777777" w:rsidR="00BB0864" w:rsidRDefault="00BB0864" w:rsidP="00BB0864">
      <w:pPr>
        <w:jc w:val="center"/>
        <w:rPr>
          <w:rFonts w:cs="Arial"/>
          <w:b/>
          <w:bCs/>
          <w:szCs w:val="24"/>
        </w:rPr>
      </w:pPr>
      <w:r w:rsidRPr="001F54E7">
        <w:rPr>
          <w:rFonts w:cs="Arial"/>
          <w:b/>
          <w:bCs/>
          <w:szCs w:val="24"/>
        </w:rPr>
        <w:t>DATE OF ISSUE</w:t>
      </w:r>
    </w:p>
    <w:p w14:paraId="7107CB67" w14:textId="3F4D823F" w:rsidR="00757E19" w:rsidRDefault="004F3674" w:rsidP="00BB0864">
      <w:pPr>
        <w:jc w:val="center"/>
        <w:rPr>
          <w:rFonts w:cs="Arial"/>
          <w:b/>
          <w:bCs/>
          <w:szCs w:val="24"/>
        </w:rPr>
      </w:pPr>
      <w:proofErr w:type="gramStart"/>
      <w:r>
        <w:rPr>
          <w:rFonts w:cs="Arial"/>
          <w:b/>
          <w:bCs/>
          <w:szCs w:val="24"/>
        </w:rPr>
        <w:t>26</w:t>
      </w:r>
      <w:r w:rsidRPr="001B2E91">
        <w:rPr>
          <w:rFonts w:cs="Arial"/>
          <w:b/>
          <w:bCs/>
          <w:szCs w:val="24"/>
          <w:vertAlign w:val="superscript"/>
        </w:rPr>
        <w:t>rd</w:t>
      </w:r>
      <w:r>
        <w:rPr>
          <w:rFonts w:cs="Arial"/>
          <w:b/>
          <w:bCs/>
          <w:szCs w:val="24"/>
        </w:rPr>
        <w:t xml:space="preserve">  </w:t>
      </w:r>
      <w:r w:rsidR="008B67C2">
        <w:rPr>
          <w:rFonts w:cs="Arial"/>
          <w:b/>
          <w:bCs/>
          <w:szCs w:val="24"/>
        </w:rPr>
        <w:t>July</w:t>
      </w:r>
      <w:proofErr w:type="gramEnd"/>
      <w:r w:rsidR="00F2122E">
        <w:rPr>
          <w:rFonts w:cs="Arial"/>
          <w:b/>
          <w:bCs/>
          <w:szCs w:val="24"/>
        </w:rPr>
        <w:t xml:space="preserve"> 2018</w:t>
      </w:r>
    </w:p>
    <w:p w14:paraId="53132DB8" w14:textId="77777777" w:rsidR="00163196" w:rsidRDefault="00163196" w:rsidP="00BB0864">
      <w:pPr>
        <w:jc w:val="center"/>
        <w:rPr>
          <w:rFonts w:cs="Arial"/>
          <w:b/>
          <w:bCs/>
          <w:szCs w:val="24"/>
        </w:rPr>
      </w:pPr>
    </w:p>
    <w:p w14:paraId="21CDDD10" w14:textId="77777777" w:rsidR="00163196" w:rsidRPr="001F54E7" w:rsidRDefault="00163196" w:rsidP="00BB0864">
      <w:pPr>
        <w:jc w:val="center"/>
        <w:rPr>
          <w:rFonts w:cs="Arial"/>
          <w:b/>
          <w:bCs/>
          <w:szCs w:val="24"/>
        </w:rPr>
      </w:pPr>
    </w:p>
    <w:p w14:paraId="71A673E5" w14:textId="77777777" w:rsidR="00163196" w:rsidRDefault="00163196" w:rsidP="00163196">
      <w:pPr>
        <w:rPr>
          <w:b/>
          <w:sz w:val="24"/>
          <w:szCs w:val="24"/>
        </w:rPr>
      </w:pPr>
      <w:r>
        <w:rPr>
          <w:b/>
          <w:sz w:val="24"/>
          <w:szCs w:val="24"/>
        </w:rPr>
        <w:t xml:space="preserve">Advertised at: </w:t>
      </w:r>
    </w:p>
    <w:p w14:paraId="19B9042A" w14:textId="77777777" w:rsidR="00163196" w:rsidRDefault="00A57997" w:rsidP="00163196">
      <w:pPr>
        <w:rPr>
          <w:b/>
          <w:sz w:val="24"/>
          <w:szCs w:val="24"/>
        </w:rPr>
      </w:pPr>
      <w:hyperlink r:id="rId9" w:history="1">
        <w:r w:rsidR="00163196" w:rsidRPr="00570F4F">
          <w:rPr>
            <w:rStyle w:val="Hyperlink"/>
            <w:b/>
            <w:sz w:val="24"/>
            <w:szCs w:val="24"/>
          </w:rPr>
          <w:t>https://www.gov.uk/contracts-finder</w:t>
        </w:r>
      </w:hyperlink>
      <w:r w:rsidR="00163196">
        <w:rPr>
          <w:b/>
          <w:sz w:val="24"/>
          <w:szCs w:val="24"/>
        </w:rPr>
        <w:t xml:space="preserve"> </w:t>
      </w:r>
    </w:p>
    <w:p w14:paraId="69E18F5B" w14:textId="77777777" w:rsidR="00BB0864" w:rsidRPr="00A25BB6" w:rsidRDefault="00A57997" w:rsidP="00163196">
      <w:pPr>
        <w:jc w:val="both"/>
        <w:rPr>
          <w:rFonts w:cs="Arial"/>
          <w:szCs w:val="22"/>
        </w:rPr>
      </w:pPr>
      <w:hyperlink r:id="rId10" w:history="1">
        <w:r w:rsidR="00163196" w:rsidRPr="00570F4F">
          <w:rPr>
            <w:rStyle w:val="Hyperlink"/>
            <w:b/>
            <w:sz w:val="24"/>
            <w:szCs w:val="24"/>
          </w:rPr>
          <w:t>http://www.scilly.gov.uk/business-licensing/contracts/current-    contract-opportunities</w:t>
        </w:r>
      </w:hyperlink>
    </w:p>
    <w:p w14:paraId="0D457692" w14:textId="77777777" w:rsidR="00CA046D" w:rsidRDefault="00BB0864">
      <w:pPr>
        <w:rPr>
          <w:noProof/>
        </w:rPr>
      </w:pPr>
      <w:r w:rsidRPr="003A525F">
        <w:rPr>
          <w:b/>
          <w:sz w:val="24"/>
          <w:szCs w:val="24"/>
        </w:rPr>
        <w:lastRenderedPageBreak/>
        <w:t>Contents</w:t>
      </w:r>
      <w:r w:rsidR="00947087">
        <w:rPr>
          <w:b/>
          <w:sz w:val="24"/>
          <w:szCs w:val="24"/>
        </w:rPr>
        <w:fldChar w:fldCharType="begin"/>
      </w:r>
      <w:r w:rsidR="00947087">
        <w:rPr>
          <w:b/>
          <w:sz w:val="24"/>
          <w:szCs w:val="24"/>
        </w:rPr>
        <w:instrText xml:space="preserve"> TOC \o "1-1" \h \z \u \t "Heading 3,3,Heading 4,4,Heading 5,5,Heading 6,6,Heading 7,7,Heading 8,8,Subtitle,2,Body Text,2" </w:instrText>
      </w:r>
      <w:r w:rsidR="00947087">
        <w:rPr>
          <w:b/>
          <w:sz w:val="24"/>
          <w:szCs w:val="24"/>
        </w:rPr>
        <w:fldChar w:fldCharType="separate"/>
      </w:r>
    </w:p>
    <w:p w14:paraId="3CE270B8" w14:textId="77777777" w:rsidR="00CA046D" w:rsidRDefault="00A57997">
      <w:pPr>
        <w:pStyle w:val="TOC1"/>
        <w:tabs>
          <w:tab w:val="right" w:leader="dot" w:pos="8990"/>
        </w:tabs>
        <w:rPr>
          <w:rFonts w:ascii="Times New Roman" w:hAnsi="Times New Roman"/>
          <w:noProof/>
          <w:sz w:val="24"/>
          <w:szCs w:val="24"/>
          <w:lang w:val="en-US"/>
        </w:rPr>
      </w:pPr>
      <w:hyperlink w:anchor="_Toc226970461" w:history="1">
        <w:r w:rsidR="00CA046D" w:rsidRPr="00441039">
          <w:rPr>
            <w:rStyle w:val="Hyperlink"/>
            <w:noProof/>
          </w:rPr>
          <w:t>Section A: Introduction</w:t>
        </w:r>
        <w:r w:rsidR="00CA046D">
          <w:rPr>
            <w:noProof/>
            <w:webHidden/>
          </w:rPr>
          <w:tab/>
        </w:r>
        <w:r w:rsidR="00CA046D">
          <w:rPr>
            <w:noProof/>
            <w:webHidden/>
          </w:rPr>
          <w:fldChar w:fldCharType="begin"/>
        </w:r>
        <w:r w:rsidR="00CA046D">
          <w:rPr>
            <w:noProof/>
            <w:webHidden/>
          </w:rPr>
          <w:instrText xml:space="preserve"> PAGEREF _Toc226970461 \h </w:instrText>
        </w:r>
        <w:r w:rsidR="00CA046D">
          <w:rPr>
            <w:noProof/>
            <w:webHidden/>
          </w:rPr>
        </w:r>
        <w:r w:rsidR="00CA046D">
          <w:rPr>
            <w:noProof/>
            <w:webHidden/>
          </w:rPr>
          <w:fldChar w:fldCharType="separate"/>
        </w:r>
        <w:r w:rsidR="004F5784">
          <w:rPr>
            <w:noProof/>
            <w:webHidden/>
          </w:rPr>
          <w:t>3</w:t>
        </w:r>
        <w:r w:rsidR="00CA046D">
          <w:rPr>
            <w:noProof/>
            <w:webHidden/>
          </w:rPr>
          <w:fldChar w:fldCharType="end"/>
        </w:r>
      </w:hyperlink>
    </w:p>
    <w:p w14:paraId="560B06BA" w14:textId="77777777" w:rsidR="00CA046D" w:rsidRDefault="00A57997">
      <w:pPr>
        <w:pStyle w:val="TOC1"/>
        <w:tabs>
          <w:tab w:val="right" w:leader="dot" w:pos="8990"/>
        </w:tabs>
        <w:rPr>
          <w:rFonts w:ascii="Times New Roman" w:hAnsi="Times New Roman"/>
          <w:noProof/>
          <w:sz w:val="24"/>
          <w:szCs w:val="24"/>
          <w:lang w:val="en-US"/>
        </w:rPr>
      </w:pPr>
      <w:hyperlink w:anchor="_Toc226970462" w:history="1">
        <w:r w:rsidR="00CA046D" w:rsidRPr="00441039">
          <w:rPr>
            <w:rStyle w:val="Hyperlink"/>
            <w:noProof/>
          </w:rPr>
          <w:t>Section B: Background to the Project</w:t>
        </w:r>
        <w:r w:rsidR="00CA046D">
          <w:rPr>
            <w:noProof/>
            <w:webHidden/>
          </w:rPr>
          <w:tab/>
        </w:r>
        <w:r w:rsidR="00CA046D">
          <w:rPr>
            <w:noProof/>
            <w:webHidden/>
          </w:rPr>
          <w:fldChar w:fldCharType="begin"/>
        </w:r>
        <w:r w:rsidR="00CA046D">
          <w:rPr>
            <w:noProof/>
            <w:webHidden/>
          </w:rPr>
          <w:instrText xml:space="preserve"> PAGEREF _Toc226970462 \h </w:instrText>
        </w:r>
        <w:r w:rsidR="00CA046D">
          <w:rPr>
            <w:noProof/>
            <w:webHidden/>
          </w:rPr>
        </w:r>
        <w:r w:rsidR="00CA046D">
          <w:rPr>
            <w:noProof/>
            <w:webHidden/>
          </w:rPr>
          <w:fldChar w:fldCharType="separate"/>
        </w:r>
        <w:r w:rsidR="004F5784">
          <w:rPr>
            <w:noProof/>
            <w:webHidden/>
          </w:rPr>
          <w:t>4</w:t>
        </w:r>
        <w:r w:rsidR="00CA046D">
          <w:rPr>
            <w:noProof/>
            <w:webHidden/>
          </w:rPr>
          <w:fldChar w:fldCharType="end"/>
        </w:r>
      </w:hyperlink>
    </w:p>
    <w:p w14:paraId="000DFD25" w14:textId="77777777" w:rsidR="00CA046D" w:rsidRDefault="00A57997">
      <w:pPr>
        <w:pStyle w:val="TOC1"/>
        <w:tabs>
          <w:tab w:val="right" w:leader="dot" w:pos="8990"/>
        </w:tabs>
        <w:rPr>
          <w:rFonts w:ascii="Times New Roman" w:hAnsi="Times New Roman"/>
          <w:noProof/>
          <w:sz w:val="24"/>
          <w:szCs w:val="24"/>
          <w:lang w:val="en-US"/>
        </w:rPr>
      </w:pPr>
      <w:hyperlink w:anchor="_Toc226970463" w:history="1">
        <w:r w:rsidR="00CA046D" w:rsidRPr="00441039">
          <w:rPr>
            <w:rStyle w:val="Hyperlink"/>
            <w:noProof/>
          </w:rPr>
          <w:t>Section C: Instructions to Tenderers</w:t>
        </w:r>
        <w:r w:rsidR="00CA046D">
          <w:rPr>
            <w:noProof/>
            <w:webHidden/>
          </w:rPr>
          <w:tab/>
        </w:r>
        <w:r w:rsidR="00CA046D">
          <w:rPr>
            <w:noProof/>
            <w:webHidden/>
          </w:rPr>
          <w:fldChar w:fldCharType="begin"/>
        </w:r>
        <w:r w:rsidR="00CA046D">
          <w:rPr>
            <w:noProof/>
            <w:webHidden/>
          </w:rPr>
          <w:instrText xml:space="preserve"> PAGEREF _Toc226970463 \h </w:instrText>
        </w:r>
        <w:r w:rsidR="00CA046D">
          <w:rPr>
            <w:noProof/>
            <w:webHidden/>
          </w:rPr>
        </w:r>
        <w:r w:rsidR="00CA046D">
          <w:rPr>
            <w:noProof/>
            <w:webHidden/>
          </w:rPr>
          <w:fldChar w:fldCharType="separate"/>
        </w:r>
        <w:r w:rsidR="004F5784">
          <w:rPr>
            <w:noProof/>
            <w:webHidden/>
          </w:rPr>
          <w:t>6</w:t>
        </w:r>
        <w:r w:rsidR="00CA046D">
          <w:rPr>
            <w:noProof/>
            <w:webHidden/>
          </w:rPr>
          <w:fldChar w:fldCharType="end"/>
        </w:r>
      </w:hyperlink>
    </w:p>
    <w:p w14:paraId="33B51350" w14:textId="77777777" w:rsidR="00CA046D" w:rsidRDefault="00A57997">
      <w:pPr>
        <w:pStyle w:val="TOC1"/>
        <w:tabs>
          <w:tab w:val="right" w:leader="dot" w:pos="8990"/>
        </w:tabs>
        <w:rPr>
          <w:rFonts w:ascii="Times New Roman" w:hAnsi="Times New Roman"/>
          <w:noProof/>
          <w:sz w:val="24"/>
          <w:szCs w:val="24"/>
          <w:lang w:val="en-US"/>
        </w:rPr>
      </w:pPr>
      <w:hyperlink w:anchor="_Toc226970464" w:history="1">
        <w:r w:rsidR="00CA046D" w:rsidRPr="00441039">
          <w:rPr>
            <w:rStyle w:val="Hyperlink"/>
            <w:noProof/>
          </w:rPr>
          <w:t>Section D: Response, Submission and Evaluation</w:t>
        </w:r>
        <w:r w:rsidR="00CA046D">
          <w:rPr>
            <w:noProof/>
            <w:webHidden/>
          </w:rPr>
          <w:tab/>
        </w:r>
        <w:r w:rsidR="00CA046D">
          <w:rPr>
            <w:noProof/>
            <w:webHidden/>
          </w:rPr>
          <w:fldChar w:fldCharType="begin"/>
        </w:r>
        <w:r w:rsidR="00CA046D">
          <w:rPr>
            <w:noProof/>
            <w:webHidden/>
          </w:rPr>
          <w:instrText xml:space="preserve"> PAGEREF _Toc226970464 \h </w:instrText>
        </w:r>
        <w:r w:rsidR="00CA046D">
          <w:rPr>
            <w:noProof/>
            <w:webHidden/>
          </w:rPr>
        </w:r>
        <w:r w:rsidR="00CA046D">
          <w:rPr>
            <w:noProof/>
            <w:webHidden/>
          </w:rPr>
          <w:fldChar w:fldCharType="separate"/>
        </w:r>
        <w:r w:rsidR="004F5784">
          <w:rPr>
            <w:noProof/>
            <w:webHidden/>
          </w:rPr>
          <w:t>16</w:t>
        </w:r>
        <w:r w:rsidR="00CA046D">
          <w:rPr>
            <w:noProof/>
            <w:webHidden/>
          </w:rPr>
          <w:fldChar w:fldCharType="end"/>
        </w:r>
      </w:hyperlink>
    </w:p>
    <w:p w14:paraId="44B2B79C" w14:textId="77777777" w:rsidR="00CA046D" w:rsidRDefault="00A57997">
      <w:pPr>
        <w:pStyle w:val="TOC1"/>
        <w:tabs>
          <w:tab w:val="right" w:leader="dot" w:pos="8990"/>
        </w:tabs>
        <w:rPr>
          <w:rFonts w:ascii="Times New Roman" w:hAnsi="Times New Roman"/>
          <w:noProof/>
          <w:sz w:val="24"/>
          <w:szCs w:val="24"/>
          <w:lang w:val="en-US"/>
        </w:rPr>
      </w:pPr>
      <w:hyperlink w:anchor="_Toc226970465" w:history="1">
        <w:r w:rsidR="00CA046D" w:rsidRPr="00441039">
          <w:rPr>
            <w:rStyle w:val="Hyperlink"/>
            <w:noProof/>
          </w:rPr>
          <w:t>Section E: The Scope of Service</w:t>
        </w:r>
        <w:r w:rsidR="00CA046D">
          <w:rPr>
            <w:noProof/>
            <w:webHidden/>
          </w:rPr>
          <w:tab/>
        </w:r>
        <w:r w:rsidR="00CA046D">
          <w:rPr>
            <w:noProof/>
            <w:webHidden/>
          </w:rPr>
          <w:fldChar w:fldCharType="begin"/>
        </w:r>
        <w:r w:rsidR="00CA046D">
          <w:rPr>
            <w:noProof/>
            <w:webHidden/>
          </w:rPr>
          <w:instrText xml:space="preserve"> PAGEREF _Toc226970465 \h </w:instrText>
        </w:r>
        <w:r w:rsidR="00CA046D">
          <w:rPr>
            <w:noProof/>
            <w:webHidden/>
          </w:rPr>
        </w:r>
        <w:r w:rsidR="00CA046D">
          <w:rPr>
            <w:noProof/>
            <w:webHidden/>
          </w:rPr>
          <w:fldChar w:fldCharType="separate"/>
        </w:r>
        <w:r w:rsidR="004F5784">
          <w:rPr>
            <w:noProof/>
            <w:webHidden/>
          </w:rPr>
          <w:t>21</w:t>
        </w:r>
        <w:r w:rsidR="00CA046D">
          <w:rPr>
            <w:noProof/>
            <w:webHidden/>
          </w:rPr>
          <w:fldChar w:fldCharType="end"/>
        </w:r>
      </w:hyperlink>
    </w:p>
    <w:p w14:paraId="173AB118" w14:textId="5C30B959" w:rsidR="00CA046D" w:rsidRDefault="00A57997">
      <w:pPr>
        <w:pStyle w:val="TOC1"/>
        <w:tabs>
          <w:tab w:val="right" w:leader="dot" w:pos="8990"/>
        </w:tabs>
        <w:rPr>
          <w:rFonts w:ascii="Times New Roman" w:hAnsi="Times New Roman"/>
          <w:noProof/>
          <w:sz w:val="24"/>
          <w:szCs w:val="24"/>
          <w:lang w:val="en-US"/>
        </w:rPr>
      </w:pPr>
      <w:hyperlink w:anchor="_Toc226970466" w:history="1">
        <w:r w:rsidR="00CA046D" w:rsidRPr="00441039">
          <w:rPr>
            <w:rStyle w:val="Hyperlink"/>
            <w:noProof/>
          </w:rPr>
          <w:t>Section F: Draft Contract</w:t>
        </w:r>
        <w:r w:rsidR="00CA046D">
          <w:rPr>
            <w:noProof/>
            <w:webHidden/>
          </w:rPr>
          <w:tab/>
        </w:r>
        <w:r w:rsidR="00CA046D">
          <w:rPr>
            <w:noProof/>
            <w:webHidden/>
          </w:rPr>
          <w:fldChar w:fldCharType="begin"/>
        </w:r>
        <w:r w:rsidR="00CA046D">
          <w:rPr>
            <w:noProof/>
            <w:webHidden/>
          </w:rPr>
          <w:instrText xml:space="preserve"> PAGEREF _Toc226970466 \h </w:instrText>
        </w:r>
        <w:r w:rsidR="00CA046D">
          <w:rPr>
            <w:noProof/>
            <w:webHidden/>
          </w:rPr>
        </w:r>
        <w:r w:rsidR="00CA046D">
          <w:rPr>
            <w:noProof/>
            <w:webHidden/>
          </w:rPr>
          <w:fldChar w:fldCharType="separate"/>
        </w:r>
        <w:r w:rsidR="00CA046D">
          <w:rPr>
            <w:noProof/>
            <w:webHidden/>
          </w:rPr>
          <w:t>22</w:t>
        </w:r>
        <w:r w:rsidR="00CA046D">
          <w:rPr>
            <w:noProof/>
            <w:webHidden/>
          </w:rPr>
          <w:fldChar w:fldCharType="end"/>
        </w:r>
      </w:hyperlink>
    </w:p>
    <w:p w14:paraId="41A89BE4" w14:textId="784A8156" w:rsidR="00BB0864" w:rsidRDefault="00947087">
      <w:pPr>
        <w:rPr>
          <w:b/>
          <w:sz w:val="24"/>
          <w:szCs w:val="24"/>
        </w:rPr>
      </w:pPr>
      <w:r>
        <w:rPr>
          <w:b/>
          <w:sz w:val="24"/>
          <w:szCs w:val="24"/>
        </w:rPr>
        <w:fldChar w:fldCharType="end"/>
      </w:r>
    </w:p>
    <w:p w14:paraId="760CF384" w14:textId="77777777" w:rsidR="003D461D" w:rsidRPr="00707232" w:rsidRDefault="003D461D" w:rsidP="003D461D">
      <w:pPr>
        <w:rPr>
          <w:u w:val="single"/>
        </w:rPr>
      </w:pPr>
      <w:r w:rsidRPr="00707232">
        <w:rPr>
          <w:b/>
          <w:sz w:val="24"/>
          <w:szCs w:val="24"/>
          <w:u w:val="single"/>
        </w:rPr>
        <w:t>Supplementary Documents</w:t>
      </w:r>
    </w:p>
    <w:p w14:paraId="69E709AF" w14:textId="209AFBFA" w:rsidR="003D461D" w:rsidRDefault="00AD1AD3" w:rsidP="003D461D">
      <w:pPr>
        <w:rPr>
          <w:noProof/>
        </w:rPr>
      </w:pPr>
      <w:r>
        <w:rPr>
          <w:noProof/>
        </w:rPr>
        <w:t>Annex</w:t>
      </w:r>
      <w:r w:rsidR="003D461D">
        <w:rPr>
          <w:noProof/>
        </w:rPr>
        <w:t xml:space="preserve"> A: Qualitative Selection Document  </w:t>
      </w:r>
      <w:r w:rsidR="003D461D" w:rsidRPr="009A3BCD">
        <w:rPr>
          <w:noProof/>
          <w:color w:val="FF0000"/>
        </w:rPr>
        <w:t>(to complete, signand return with tender)</w:t>
      </w:r>
    </w:p>
    <w:p w14:paraId="5F6B6CCB" w14:textId="423C49EE" w:rsidR="003D461D" w:rsidRDefault="00AD1AD3" w:rsidP="003D461D">
      <w:pPr>
        <w:rPr>
          <w:noProof/>
          <w:color w:val="FF0000"/>
        </w:rPr>
      </w:pPr>
      <w:r>
        <w:rPr>
          <w:noProof/>
        </w:rPr>
        <w:t>Annex</w:t>
      </w:r>
      <w:r w:rsidR="003D461D">
        <w:rPr>
          <w:noProof/>
        </w:rPr>
        <w:t xml:space="preserve"> B: </w:t>
      </w:r>
      <w:proofErr w:type="spellStart"/>
      <w:r w:rsidR="003D461D" w:rsidRPr="00290BE2">
        <w:t>IoS</w:t>
      </w:r>
      <w:proofErr w:type="spellEnd"/>
      <w:r w:rsidR="003D461D" w:rsidRPr="00290BE2">
        <w:t xml:space="preserve"> IFCA Boat Specification and Pricing</w:t>
      </w:r>
      <w:r w:rsidR="002D6E28">
        <w:t xml:space="preserve"> Document</w:t>
      </w:r>
      <w:r w:rsidR="003D461D" w:rsidRPr="00290BE2">
        <w:t xml:space="preserve"> v1</w:t>
      </w:r>
      <w:r w:rsidR="003D461D">
        <w:t xml:space="preserve"> </w:t>
      </w:r>
      <w:r w:rsidR="003D461D" w:rsidRPr="00F90571">
        <w:rPr>
          <w:noProof/>
          <w:color w:val="FF0000"/>
        </w:rPr>
        <w:t>(to complete, sign</w:t>
      </w:r>
      <w:r w:rsidR="00B80B0E">
        <w:rPr>
          <w:noProof/>
          <w:color w:val="FF0000"/>
        </w:rPr>
        <w:t xml:space="preserve"> </w:t>
      </w:r>
      <w:r w:rsidR="003D461D" w:rsidRPr="00F90571">
        <w:rPr>
          <w:noProof/>
          <w:color w:val="FF0000"/>
        </w:rPr>
        <w:t>and return with tender)</w:t>
      </w:r>
    </w:p>
    <w:p w14:paraId="5A53375D" w14:textId="65D90405" w:rsidR="008D33EB" w:rsidRDefault="008D33EB" w:rsidP="008D33EB">
      <w:pPr>
        <w:rPr>
          <w:noProof/>
        </w:rPr>
      </w:pPr>
      <w:r>
        <w:rPr>
          <w:noProof/>
        </w:rPr>
        <w:t xml:space="preserve">Annex C: </w:t>
      </w:r>
      <w:r>
        <w:t xml:space="preserve">Certificate of Bona Fide Tender </w:t>
      </w:r>
      <w:r w:rsidRPr="00F90571">
        <w:rPr>
          <w:noProof/>
          <w:color w:val="FF0000"/>
        </w:rPr>
        <w:t>(to complete, signand return with tender)</w:t>
      </w:r>
    </w:p>
    <w:p w14:paraId="3DB49F01" w14:textId="0A511C30" w:rsidR="003D461D" w:rsidRDefault="00AD1AD3" w:rsidP="003D461D">
      <w:pPr>
        <w:rPr>
          <w:noProof/>
          <w:color w:val="FF0000"/>
        </w:rPr>
      </w:pPr>
      <w:r>
        <w:rPr>
          <w:noProof/>
        </w:rPr>
        <w:t>Annex</w:t>
      </w:r>
      <w:r w:rsidR="003D461D">
        <w:rPr>
          <w:noProof/>
        </w:rPr>
        <w:t xml:space="preserve"> </w:t>
      </w:r>
      <w:r w:rsidR="008D33EB">
        <w:rPr>
          <w:noProof/>
        </w:rPr>
        <w:t>D</w:t>
      </w:r>
      <w:r w:rsidR="003D461D">
        <w:rPr>
          <w:noProof/>
        </w:rPr>
        <w:t xml:space="preserve">: </w:t>
      </w:r>
      <w:r w:rsidR="003D461D">
        <w:t xml:space="preserve">Expression of Interest </w:t>
      </w:r>
      <w:proofErr w:type="spellStart"/>
      <w:r w:rsidR="003D461D">
        <w:t>Proforma</w:t>
      </w:r>
      <w:proofErr w:type="spellEnd"/>
      <w:r w:rsidR="003D461D">
        <w:t xml:space="preserve"> </w:t>
      </w:r>
      <w:r w:rsidR="003D461D" w:rsidRPr="00B7124E">
        <w:rPr>
          <w:noProof/>
          <w:color w:val="FF0000"/>
        </w:rPr>
        <w:t>(to complete, sign and return as soon as possible)</w:t>
      </w:r>
    </w:p>
    <w:p w14:paraId="1876F555" w14:textId="2FFF70D3" w:rsidR="003D461D" w:rsidRPr="00887C35" w:rsidRDefault="00AD1AD3" w:rsidP="003D461D">
      <w:pPr>
        <w:rPr>
          <w:color w:val="000000" w:themeColor="text1"/>
        </w:rPr>
      </w:pPr>
      <w:r>
        <w:rPr>
          <w:noProof/>
          <w:color w:val="000000" w:themeColor="text1"/>
        </w:rPr>
        <w:t>Annex</w:t>
      </w:r>
      <w:r w:rsidR="003D461D" w:rsidRPr="00887C35">
        <w:rPr>
          <w:noProof/>
          <w:color w:val="000000" w:themeColor="text1"/>
        </w:rPr>
        <w:t xml:space="preserve"> </w:t>
      </w:r>
      <w:r w:rsidR="008D33EB">
        <w:rPr>
          <w:noProof/>
          <w:color w:val="000000" w:themeColor="text1"/>
        </w:rPr>
        <w:t>E</w:t>
      </w:r>
      <w:r w:rsidR="003D461D" w:rsidRPr="00887C35">
        <w:rPr>
          <w:noProof/>
          <w:color w:val="000000" w:themeColor="text1"/>
        </w:rPr>
        <w:t xml:space="preserve">: </w:t>
      </w:r>
      <w:r w:rsidR="002D6E28">
        <w:rPr>
          <w:noProof/>
          <w:color w:val="000000" w:themeColor="text1"/>
        </w:rPr>
        <w:t>Existing p</w:t>
      </w:r>
      <w:r w:rsidR="002D6E28" w:rsidRPr="00887C35">
        <w:rPr>
          <w:noProof/>
          <w:color w:val="000000" w:themeColor="text1"/>
        </w:rPr>
        <w:t xml:space="preserve">ot hauler pictures </w:t>
      </w:r>
    </w:p>
    <w:p w14:paraId="5D50C730" w14:textId="77777777" w:rsidR="003D461D" w:rsidRDefault="003D461D"/>
    <w:p w14:paraId="7C71602D" w14:textId="77777777" w:rsidR="00037C5D" w:rsidRDefault="00037C5D" w:rsidP="00037C5D"/>
    <w:p w14:paraId="2483A333" w14:textId="77777777" w:rsidR="00163196" w:rsidRDefault="00163196" w:rsidP="00037C5D"/>
    <w:p w14:paraId="691890F3" w14:textId="77777777" w:rsidR="00163196" w:rsidRDefault="00163196" w:rsidP="00037C5D"/>
    <w:p w14:paraId="6E7DA7AC" w14:textId="77777777" w:rsidR="00163196" w:rsidRDefault="00163196" w:rsidP="00037C5D"/>
    <w:p w14:paraId="73E334FA" w14:textId="77777777" w:rsidR="00163196" w:rsidRDefault="00163196" w:rsidP="00037C5D"/>
    <w:p w14:paraId="6E744A63" w14:textId="77777777" w:rsidR="00163196" w:rsidRDefault="00163196" w:rsidP="00037C5D"/>
    <w:p w14:paraId="7E56A3A2" w14:textId="77777777" w:rsidR="00163196" w:rsidRDefault="00163196" w:rsidP="00037C5D"/>
    <w:p w14:paraId="5CD07ECD" w14:textId="77777777" w:rsidR="00163196" w:rsidRDefault="00163196" w:rsidP="00037C5D"/>
    <w:p w14:paraId="459D6F8A" w14:textId="3EBB8941" w:rsidR="003D461D" w:rsidRDefault="003D461D">
      <w:pPr>
        <w:spacing w:after="0"/>
      </w:pPr>
      <w:r>
        <w:br w:type="page"/>
      </w:r>
    </w:p>
    <w:tbl>
      <w:tblPr>
        <w:tblW w:w="9322"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562"/>
        <w:gridCol w:w="3638"/>
        <w:gridCol w:w="2001"/>
        <w:gridCol w:w="2121"/>
      </w:tblGrid>
      <w:tr w:rsidR="00163196" w:rsidRPr="00837301" w14:paraId="5C014EEE" w14:textId="77777777" w:rsidTr="00176A82">
        <w:tc>
          <w:tcPr>
            <w:tcW w:w="9322" w:type="dxa"/>
            <w:gridSpan w:val="4"/>
            <w:tcBorders>
              <w:top w:val="single" w:sz="8" w:space="0" w:color="4BACC6"/>
              <w:left w:val="single" w:sz="8" w:space="0" w:color="4BACC6"/>
              <w:bottom w:val="single" w:sz="18" w:space="0" w:color="4BACC6"/>
              <w:right w:val="single" w:sz="8" w:space="0" w:color="4BACC6"/>
            </w:tcBorders>
          </w:tcPr>
          <w:p w14:paraId="5CD11436" w14:textId="77777777" w:rsidR="00163196" w:rsidRPr="00837301" w:rsidRDefault="00163196" w:rsidP="00176A82">
            <w:pPr>
              <w:jc w:val="center"/>
              <w:rPr>
                <w:b/>
                <w:bCs/>
                <w:u w:val="single"/>
              </w:rPr>
            </w:pPr>
            <w:r w:rsidRPr="00837301">
              <w:rPr>
                <w:b/>
                <w:bCs/>
                <w:sz w:val="28"/>
                <w:u w:val="single"/>
              </w:rPr>
              <w:lastRenderedPageBreak/>
              <w:t xml:space="preserve">Contract Opportunity Summary </w:t>
            </w:r>
          </w:p>
        </w:tc>
      </w:tr>
      <w:tr w:rsidR="00163196" w:rsidRPr="001C26BE" w14:paraId="20133A84" w14:textId="77777777" w:rsidTr="00176A82">
        <w:tc>
          <w:tcPr>
            <w:tcW w:w="1562" w:type="dxa"/>
            <w:tcBorders>
              <w:top w:val="single" w:sz="8" w:space="0" w:color="4BACC6"/>
              <w:left w:val="single" w:sz="8" w:space="0" w:color="4BACC6"/>
              <w:bottom w:val="single" w:sz="8" w:space="0" w:color="4BACC6"/>
              <w:right w:val="single" w:sz="8" w:space="0" w:color="4BACC6"/>
            </w:tcBorders>
            <w:shd w:val="clear" w:color="auto" w:fill="D2EAF1"/>
          </w:tcPr>
          <w:p w14:paraId="393DEF35" w14:textId="77777777" w:rsidR="00163196" w:rsidRPr="005C24C7" w:rsidRDefault="00163196" w:rsidP="00176A82">
            <w:pPr>
              <w:rPr>
                <w:bCs/>
                <w:sz w:val="20"/>
              </w:rPr>
            </w:pPr>
            <w:r w:rsidRPr="005C24C7">
              <w:rPr>
                <w:bCs/>
                <w:sz w:val="20"/>
              </w:rPr>
              <w:t>Contract Name:</w:t>
            </w:r>
          </w:p>
        </w:tc>
        <w:tc>
          <w:tcPr>
            <w:tcW w:w="3638" w:type="dxa"/>
            <w:tcBorders>
              <w:top w:val="single" w:sz="8" w:space="0" w:color="4BACC6"/>
              <w:left w:val="single" w:sz="8" w:space="0" w:color="4BACC6"/>
              <w:bottom w:val="single" w:sz="8" w:space="0" w:color="4BACC6"/>
              <w:right w:val="single" w:sz="8" w:space="0" w:color="4BACC6"/>
            </w:tcBorders>
            <w:shd w:val="clear" w:color="auto" w:fill="D2EAF1"/>
          </w:tcPr>
          <w:p w14:paraId="180E8991" w14:textId="77777777" w:rsidR="00163196" w:rsidRPr="00C540F6" w:rsidRDefault="00163196" w:rsidP="00176A82">
            <w:pPr>
              <w:autoSpaceDE w:val="0"/>
              <w:autoSpaceDN w:val="0"/>
              <w:adjustRightInd w:val="0"/>
              <w:spacing w:after="0"/>
              <w:rPr>
                <w:sz w:val="20"/>
                <w:highlight w:val="yellow"/>
              </w:rPr>
            </w:pPr>
            <w:r>
              <w:rPr>
                <w:rFonts w:cs="Arial"/>
                <w:bCs/>
                <w:szCs w:val="24"/>
              </w:rPr>
              <w:t xml:space="preserve">Provision of 1 x Rigid Inflatable Boat for </w:t>
            </w:r>
            <w:proofErr w:type="spellStart"/>
            <w:r>
              <w:rPr>
                <w:rFonts w:cs="Arial"/>
                <w:bCs/>
                <w:szCs w:val="24"/>
              </w:rPr>
              <w:t>IoS</w:t>
            </w:r>
            <w:proofErr w:type="spellEnd"/>
            <w:r>
              <w:rPr>
                <w:rFonts w:cs="Arial"/>
                <w:bCs/>
                <w:szCs w:val="24"/>
              </w:rPr>
              <w:t xml:space="preserve"> IFCA</w:t>
            </w:r>
          </w:p>
        </w:tc>
        <w:tc>
          <w:tcPr>
            <w:tcW w:w="2001" w:type="dxa"/>
            <w:tcBorders>
              <w:top w:val="single" w:sz="8" w:space="0" w:color="4BACC6"/>
              <w:left w:val="single" w:sz="8" w:space="0" w:color="4BACC6"/>
              <w:bottom w:val="single" w:sz="8" w:space="0" w:color="4BACC6"/>
              <w:right w:val="single" w:sz="8" w:space="0" w:color="4BACC6"/>
            </w:tcBorders>
            <w:shd w:val="clear" w:color="auto" w:fill="D2EAF1"/>
          </w:tcPr>
          <w:p w14:paraId="00C033D4" w14:textId="77777777" w:rsidR="00163196" w:rsidRPr="001C26BE" w:rsidRDefault="00163196" w:rsidP="00176A82">
            <w:pPr>
              <w:rPr>
                <w:b/>
              </w:rPr>
            </w:pPr>
            <w:r w:rsidRPr="001C26BE">
              <w:rPr>
                <w:b/>
              </w:rPr>
              <w:t xml:space="preserve">Date of </w:t>
            </w:r>
            <w:r>
              <w:rPr>
                <w:b/>
              </w:rPr>
              <w:t>Contract Notice sent/ITT Available</w:t>
            </w:r>
          </w:p>
        </w:tc>
        <w:tc>
          <w:tcPr>
            <w:tcW w:w="2121" w:type="dxa"/>
            <w:tcBorders>
              <w:top w:val="single" w:sz="8" w:space="0" w:color="4BACC6"/>
              <w:left w:val="single" w:sz="8" w:space="0" w:color="4BACC6"/>
              <w:bottom w:val="single" w:sz="8" w:space="0" w:color="4BACC6"/>
              <w:right w:val="single" w:sz="8" w:space="0" w:color="4BACC6"/>
            </w:tcBorders>
            <w:shd w:val="clear" w:color="auto" w:fill="D2EAF1"/>
          </w:tcPr>
          <w:p w14:paraId="68910FAC" w14:textId="2028CA7F" w:rsidR="00163196" w:rsidRPr="001C26BE" w:rsidRDefault="002414B8" w:rsidP="002414B8">
            <w:r>
              <w:t>26</w:t>
            </w:r>
            <w:r w:rsidRPr="00887C35">
              <w:rPr>
                <w:vertAlign w:val="superscript"/>
              </w:rPr>
              <w:t>th</w:t>
            </w:r>
            <w:r>
              <w:t xml:space="preserve"> </w:t>
            </w:r>
            <w:r w:rsidR="009A19FC">
              <w:t>July</w:t>
            </w:r>
            <w:r w:rsidR="00534C60">
              <w:t xml:space="preserve"> 2</w:t>
            </w:r>
            <w:r w:rsidR="00163196">
              <w:t>01</w:t>
            </w:r>
            <w:r w:rsidR="00534C60">
              <w:t>8</w:t>
            </w:r>
          </w:p>
        </w:tc>
      </w:tr>
      <w:tr w:rsidR="00163196" w:rsidRPr="001C26BE" w14:paraId="25AB345F" w14:textId="77777777" w:rsidTr="00176A82">
        <w:tc>
          <w:tcPr>
            <w:tcW w:w="1562" w:type="dxa"/>
            <w:tcBorders>
              <w:top w:val="single" w:sz="8" w:space="0" w:color="4BACC6"/>
              <w:left w:val="single" w:sz="8" w:space="0" w:color="4BACC6"/>
              <w:bottom w:val="single" w:sz="8" w:space="0" w:color="4BACC6"/>
              <w:right w:val="single" w:sz="8" w:space="0" w:color="4BACC6"/>
            </w:tcBorders>
          </w:tcPr>
          <w:p w14:paraId="1CB890A7" w14:textId="77777777" w:rsidR="00163196" w:rsidRPr="00837301" w:rsidRDefault="00163196" w:rsidP="00176A82">
            <w:pPr>
              <w:rPr>
                <w:b/>
                <w:bCs/>
              </w:rPr>
            </w:pPr>
            <w:r>
              <w:rPr>
                <w:b/>
                <w:bCs/>
              </w:rPr>
              <w:t xml:space="preserve">Our </w:t>
            </w:r>
            <w:r w:rsidRPr="00837301">
              <w:rPr>
                <w:b/>
                <w:bCs/>
              </w:rPr>
              <w:t>Contract Ref:</w:t>
            </w:r>
          </w:p>
        </w:tc>
        <w:tc>
          <w:tcPr>
            <w:tcW w:w="3638" w:type="dxa"/>
            <w:tcBorders>
              <w:top w:val="single" w:sz="8" w:space="0" w:color="4BACC6"/>
              <w:left w:val="single" w:sz="8" w:space="0" w:color="4BACC6"/>
              <w:bottom w:val="single" w:sz="8" w:space="0" w:color="4BACC6"/>
              <w:right w:val="single" w:sz="8" w:space="0" w:color="4BACC6"/>
            </w:tcBorders>
          </w:tcPr>
          <w:p w14:paraId="6F922112" w14:textId="77777777" w:rsidR="00163196" w:rsidRPr="00C540F6" w:rsidRDefault="00F2122E" w:rsidP="00F2122E">
            <w:pPr>
              <w:rPr>
                <w:highlight w:val="yellow"/>
              </w:rPr>
            </w:pPr>
            <w:r>
              <w:rPr>
                <w:rFonts w:cs="Arial"/>
                <w:bCs/>
                <w:szCs w:val="24"/>
              </w:rPr>
              <w:t>IRIB 182003</w:t>
            </w:r>
          </w:p>
        </w:tc>
        <w:tc>
          <w:tcPr>
            <w:tcW w:w="2001" w:type="dxa"/>
            <w:tcBorders>
              <w:top w:val="single" w:sz="8" w:space="0" w:color="4BACC6"/>
              <w:left w:val="single" w:sz="8" w:space="0" w:color="4BACC6"/>
              <w:bottom w:val="single" w:sz="8" w:space="0" w:color="4BACC6"/>
              <w:right w:val="single" w:sz="8" w:space="0" w:color="4BACC6"/>
            </w:tcBorders>
          </w:tcPr>
          <w:p w14:paraId="540B978A" w14:textId="77777777" w:rsidR="00163196" w:rsidRPr="001C26BE" w:rsidRDefault="00163196" w:rsidP="00176A82">
            <w:pPr>
              <w:rPr>
                <w:b/>
              </w:rPr>
            </w:pPr>
            <w:r w:rsidRPr="001C26BE">
              <w:rPr>
                <w:b/>
              </w:rPr>
              <w:t xml:space="preserve">Clarifications Period </w:t>
            </w:r>
          </w:p>
        </w:tc>
        <w:tc>
          <w:tcPr>
            <w:tcW w:w="2121" w:type="dxa"/>
            <w:tcBorders>
              <w:top w:val="single" w:sz="8" w:space="0" w:color="4BACC6"/>
              <w:left w:val="single" w:sz="8" w:space="0" w:color="4BACC6"/>
              <w:bottom w:val="single" w:sz="8" w:space="0" w:color="4BACC6"/>
              <w:right w:val="single" w:sz="8" w:space="0" w:color="4BACC6"/>
            </w:tcBorders>
          </w:tcPr>
          <w:p w14:paraId="5BC16777" w14:textId="4C5FA9FD" w:rsidR="00163196" w:rsidRPr="001C26BE" w:rsidRDefault="002414B8">
            <w:r>
              <w:t>26</w:t>
            </w:r>
            <w:r w:rsidRPr="00887C35">
              <w:rPr>
                <w:vertAlign w:val="superscript"/>
              </w:rPr>
              <w:t>th</w:t>
            </w:r>
            <w:r>
              <w:t xml:space="preserve"> </w:t>
            </w:r>
            <w:r w:rsidR="009A19FC">
              <w:t>July</w:t>
            </w:r>
            <w:r w:rsidR="00534C60">
              <w:t xml:space="preserve"> </w:t>
            </w:r>
            <w:r w:rsidR="00163196">
              <w:t>201</w:t>
            </w:r>
            <w:r w:rsidR="009A19FC">
              <w:t>8 – 13</w:t>
            </w:r>
            <w:r w:rsidR="00534C60" w:rsidRPr="00534C60">
              <w:rPr>
                <w:vertAlign w:val="superscript"/>
              </w:rPr>
              <w:t>th</w:t>
            </w:r>
            <w:r w:rsidR="00534C60">
              <w:t xml:space="preserve"> </w:t>
            </w:r>
            <w:r w:rsidR="009A19FC">
              <w:t xml:space="preserve">August </w:t>
            </w:r>
            <w:r w:rsidR="00163196">
              <w:t>201</w:t>
            </w:r>
            <w:r w:rsidR="00534C60">
              <w:t>8</w:t>
            </w:r>
          </w:p>
        </w:tc>
      </w:tr>
      <w:tr w:rsidR="00163196" w:rsidRPr="001C26BE" w14:paraId="1382F6E5" w14:textId="77777777" w:rsidTr="00176A82">
        <w:tc>
          <w:tcPr>
            <w:tcW w:w="1562" w:type="dxa"/>
            <w:tcBorders>
              <w:top w:val="single" w:sz="8" w:space="0" w:color="4BACC6"/>
              <w:left w:val="single" w:sz="8" w:space="0" w:color="4BACC6"/>
              <w:bottom w:val="single" w:sz="8" w:space="0" w:color="4BACC6"/>
              <w:right w:val="single" w:sz="8" w:space="0" w:color="4BACC6"/>
            </w:tcBorders>
            <w:shd w:val="clear" w:color="auto" w:fill="D2EAF1"/>
          </w:tcPr>
          <w:p w14:paraId="3404E8D2" w14:textId="77777777" w:rsidR="00163196" w:rsidRPr="00837301" w:rsidRDefault="00163196" w:rsidP="00176A82">
            <w:pPr>
              <w:rPr>
                <w:b/>
                <w:bCs/>
              </w:rPr>
            </w:pPr>
            <w:r w:rsidRPr="00837301">
              <w:rPr>
                <w:b/>
                <w:bCs/>
              </w:rPr>
              <w:t>Contract Type:</w:t>
            </w:r>
          </w:p>
        </w:tc>
        <w:tc>
          <w:tcPr>
            <w:tcW w:w="3638" w:type="dxa"/>
            <w:tcBorders>
              <w:top w:val="single" w:sz="8" w:space="0" w:color="4BACC6"/>
              <w:left w:val="single" w:sz="8" w:space="0" w:color="4BACC6"/>
              <w:bottom w:val="single" w:sz="8" w:space="0" w:color="4BACC6"/>
              <w:right w:val="single" w:sz="8" w:space="0" w:color="4BACC6"/>
            </w:tcBorders>
            <w:shd w:val="clear" w:color="auto" w:fill="D2EAF1"/>
          </w:tcPr>
          <w:p w14:paraId="3B647EA1" w14:textId="77777777" w:rsidR="00163196" w:rsidRPr="002F2B59" w:rsidRDefault="00163196" w:rsidP="00176A82">
            <w:pPr>
              <w:rPr>
                <w:highlight w:val="yellow"/>
              </w:rPr>
            </w:pPr>
            <w:r>
              <w:t>Goods</w:t>
            </w:r>
          </w:p>
        </w:tc>
        <w:tc>
          <w:tcPr>
            <w:tcW w:w="2001" w:type="dxa"/>
            <w:tcBorders>
              <w:top w:val="single" w:sz="8" w:space="0" w:color="4BACC6"/>
              <w:left w:val="single" w:sz="8" w:space="0" w:color="4BACC6"/>
              <w:bottom w:val="single" w:sz="8" w:space="0" w:color="4BACC6"/>
              <w:right w:val="single" w:sz="8" w:space="0" w:color="4BACC6"/>
            </w:tcBorders>
            <w:shd w:val="clear" w:color="auto" w:fill="D2EAF1"/>
          </w:tcPr>
          <w:p w14:paraId="195AC520" w14:textId="77777777" w:rsidR="00163196" w:rsidRDefault="00163196" w:rsidP="00176A82">
            <w:pPr>
              <w:rPr>
                <w:b/>
              </w:rPr>
            </w:pPr>
            <w:r w:rsidRPr="001C26BE">
              <w:rPr>
                <w:b/>
              </w:rPr>
              <w:t>Tender Return Date/Time</w:t>
            </w:r>
          </w:p>
          <w:p w14:paraId="4A491FE9" w14:textId="77777777" w:rsidR="00163196" w:rsidRPr="001C26BE" w:rsidRDefault="00163196" w:rsidP="00176A82">
            <w:pPr>
              <w:rPr>
                <w:b/>
              </w:rPr>
            </w:pPr>
            <w:r>
              <w:rPr>
                <w:b/>
              </w:rPr>
              <w:t>Tender Opening</w:t>
            </w:r>
          </w:p>
        </w:tc>
        <w:tc>
          <w:tcPr>
            <w:tcW w:w="2121" w:type="dxa"/>
            <w:tcBorders>
              <w:top w:val="single" w:sz="8" w:space="0" w:color="4BACC6"/>
              <w:left w:val="single" w:sz="8" w:space="0" w:color="4BACC6"/>
              <w:bottom w:val="single" w:sz="8" w:space="0" w:color="4BACC6"/>
              <w:right w:val="single" w:sz="8" w:space="0" w:color="4BACC6"/>
            </w:tcBorders>
            <w:shd w:val="clear" w:color="auto" w:fill="D2EAF1"/>
          </w:tcPr>
          <w:p w14:paraId="725A0BD4" w14:textId="4A51FCD2" w:rsidR="00163196" w:rsidRDefault="00534C60" w:rsidP="00176A82">
            <w:r>
              <w:t xml:space="preserve">16:00 </w:t>
            </w:r>
            <w:r w:rsidR="002414B8">
              <w:t>Thursday 30</w:t>
            </w:r>
            <w:r w:rsidR="002414B8" w:rsidRPr="00887C35">
              <w:rPr>
                <w:vertAlign w:val="superscript"/>
              </w:rPr>
              <w:t>th</w:t>
            </w:r>
            <w:r w:rsidR="002414B8">
              <w:t xml:space="preserve"> August</w:t>
            </w:r>
            <w:r>
              <w:t xml:space="preserve"> </w:t>
            </w:r>
            <w:r w:rsidR="00163196">
              <w:t>201</w:t>
            </w:r>
            <w:r>
              <w:t>8</w:t>
            </w:r>
          </w:p>
          <w:p w14:paraId="0384AA39" w14:textId="7EC6C2B2" w:rsidR="00163196" w:rsidRPr="001C26BE" w:rsidRDefault="009A19FC">
            <w:r>
              <w:t xml:space="preserve">09:00 </w:t>
            </w:r>
            <w:r w:rsidR="002414B8">
              <w:t>Friday 31</w:t>
            </w:r>
            <w:r w:rsidR="002414B8" w:rsidRPr="00887C35">
              <w:rPr>
                <w:vertAlign w:val="superscript"/>
              </w:rPr>
              <w:t>st</w:t>
            </w:r>
            <w:r w:rsidR="002414B8">
              <w:t xml:space="preserve"> August</w:t>
            </w:r>
            <w:r w:rsidR="00025CE6">
              <w:t xml:space="preserve"> </w:t>
            </w:r>
            <w:r w:rsidR="00163196">
              <w:t>201</w:t>
            </w:r>
            <w:r w:rsidR="00025CE6">
              <w:t>8</w:t>
            </w:r>
          </w:p>
        </w:tc>
      </w:tr>
      <w:tr w:rsidR="00163196" w:rsidRPr="001C26BE" w14:paraId="1F2F531F" w14:textId="77777777" w:rsidTr="00F2122E">
        <w:tc>
          <w:tcPr>
            <w:tcW w:w="1562" w:type="dxa"/>
            <w:tcBorders>
              <w:top w:val="single" w:sz="8" w:space="0" w:color="4BACC6"/>
              <w:left w:val="single" w:sz="8" w:space="0" w:color="4BACC6"/>
              <w:bottom w:val="single" w:sz="8" w:space="0" w:color="4BACC6"/>
              <w:right w:val="single" w:sz="8" w:space="0" w:color="4BACC6"/>
            </w:tcBorders>
          </w:tcPr>
          <w:p w14:paraId="22466CC9" w14:textId="77777777" w:rsidR="00163196" w:rsidRPr="00837301" w:rsidRDefault="00163196" w:rsidP="00176A82">
            <w:pPr>
              <w:rPr>
                <w:b/>
                <w:bCs/>
              </w:rPr>
            </w:pPr>
            <w:r w:rsidRPr="00837301">
              <w:rPr>
                <w:b/>
                <w:bCs/>
              </w:rPr>
              <w:t>CPV Codes:</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02C81A57" w14:textId="2A28272B" w:rsidR="00163196" w:rsidRPr="002F2B59" w:rsidRDefault="002414B8" w:rsidP="002414B8">
            <w:pPr>
              <w:rPr>
                <w:highlight w:val="yellow"/>
              </w:rPr>
            </w:pPr>
            <w:r w:rsidRPr="00F2122E">
              <w:t>3452</w:t>
            </w:r>
            <w:r>
              <w:t>1</w:t>
            </w:r>
            <w:r w:rsidRPr="00F2122E">
              <w:t>000</w:t>
            </w:r>
          </w:p>
        </w:tc>
        <w:tc>
          <w:tcPr>
            <w:tcW w:w="2001" w:type="dxa"/>
            <w:tcBorders>
              <w:top w:val="single" w:sz="8" w:space="0" w:color="4BACC6"/>
              <w:left w:val="single" w:sz="8" w:space="0" w:color="4BACC6"/>
              <w:bottom w:val="single" w:sz="8" w:space="0" w:color="4BACC6"/>
              <w:right w:val="single" w:sz="8" w:space="0" w:color="4BACC6"/>
            </w:tcBorders>
          </w:tcPr>
          <w:p w14:paraId="51A71B60" w14:textId="77777777" w:rsidR="00163196" w:rsidRPr="001C26BE" w:rsidRDefault="00163196" w:rsidP="00176A82">
            <w:pPr>
              <w:rPr>
                <w:b/>
              </w:rPr>
            </w:pPr>
            <w:r w:rsidRPr="001C26BE">
              <w:rPr>
                <w:b/>
              </w:rPr>
              <w:t>Evaluation Period</w:t>
            </w:r>
          </w:p>
        </w:tc>
        <w:tc>
          <w:tcPr>
            <w:tcW w:w="2121" w:type="dxa"/>
            <w:tcBorders>
              <w:top w:val="single" w:sz="8" w:space="0" w:color="4BACC6"/>
              <w:left w:val="single" w:sz="8" w:space="0" w:color="4BACC6"/>
              <w:bottom w:val="single" w:sz="8" w:space="0" w:color="4BACC6"/>
              <w:right w:val="single" w:sz="8" w:space="0" w:color="4BACC6"/>
            </w:tcBorders>
          </w:tcPr>
          <w:p w14:paraId="12D20C52" w14:textId="37627786" w:rsidR="00163196" w:rsidRPr="001C26BE" w:rsidRDefault="002414B8">
            <w:r>
              <w:t>3</w:t>
            </w:r>
            <w:r w:rsidRPr="00887C35">
              <w:rPr>
                <w:vertAlign w:val="superscript"/>
              </w:rPr>
              <w:t>rd</w:t>
            </w:r>
            <w:r>
              <w:t xml:space="preserve"> </w:t>
            </w:r>
            <w:r w:rsidR="009A19FC">
              <w:t>September</w:t>
            </w:r>
            <w:r w:rsidR="00025CE6">
              <w:t xml:space="preserve"> – </w:t>
            </w:r>
            <w:r>
              <w:t>5</w:t>
            </w:r>
            <w:r w:rsidRPr="00887C35">
              <w:rPr>
                <w:vertAlign w:val="superscript"/>
              </w:rPr>
              <w:t>th</w:t>
            </w:r>
            <w:r>
              <w:t xml:space="preserve"> </w:t>
            </w:r>
            <w:r w:rsidR="009A19FC">
              <w:t>September</w:t>
            </w:r>
            <w:r w:rsidR="00163196">
              <w:t xml:space="preserve"> 201</w:t>
            </w:r>
            <w:r w:rsidR="00025CE6">
              <w:t>8</w:t>
            </w:r>
          </w:p>
        </w:tc>
      </w:tr>
      <w:tr w:rsidR="00163196" w:rsidRPr="001C26BE" w14:paraId="2F7C8486" w14:textId="77777777" w:rsidTr="00176A82">
        <w:tc>
          <w:tcPr>
            <w:tcW w:w="1562" w:type="dxa"/>
            <w:tcBorders>
              <w:top w:val="single" w:sz="8" w:space="0" w:color="4BACC6"/>
              <w:left w:val="single" w:sz="8" w:space="0" w:color="4BACC6"/>
              <w:bottom w:val="single" w:sz="8" w:space="0" w:color="4BACC6"/>
              <w:right w:val="single" w:sz="8" w:space="0" w:color="4BACC6"/>
            </w:tcBorders>
            <w:shd w:val="clear" w:color="auto" w:fill="D2EAF1"/>
          </w:tcPr>
          <w:p w14:paraId="7594A1FA" w14:textId="77777777" w:rsidR="00163196" w:rsidRPr="00837301" w:rsidRDefault="00163196" w:rsidP="00176A82">
            <w:pPr>
              <w:rPr>
                <w:b/>
                <w:bCs/>
              </w:rPr>
            </w:pPr>
            <w:r w:rsidRPr="00837301">
              <w:rPr>
                <w:b/>
                <w:bCs/>
              </w:rPr>
              <w:t>Place of Delivery:</w:t>
            </w:r>
          </w:p>
        </w:tc>
        <w:tc>
          <w:tcPr>
            <w:tcW w:w="3638" w:type="dxa"/>
            <w:tcBorders>
              <w:top w:val="single" w:sz="8" w:space="0" w:color="4BACC6"/>
              <w:left w:val="single" w:sz="8" w:space="0" w:color="4BACC6"/>
              <w:bottom w:val="single" w:sz="8" w:space="0" w:color="4BACC6"/>
              <w:right w:val="single" w:sz="8" w:space="0" w:color="4BACC6"/>
            </w:tcBorders>
            <w:shd w:val="clear" w:color="auto" w:fill="D2EAF1"/>
          </w:tcPr>
          <w:p w14:paraId="6216EC3A" w14:textId="6E8737D7" w:rsidR="00163196" w:rsidRPr="002F2B59" w:rsidRDefault="009A19FC" w:rsidP="009A19FC">
            <w:pPr>
              <w:rPr>
                <w:highlight w:val="yellow"/>
              </w:rPr>
            </w:pPr>
            <w:r>
              <w:t>D</w:t>
            </w:r>
            <w:r w:rsidR="00163196" w:rsidRPr="00CD7705">
              <w:t xml:space="preserve">elivery to </w:t>
            </w:r>
            <w:r w:rsidR="00A57997" w:rsidRPr="00362271">
              <w:rPr>
                <w:bCs/>
                <w:iCs/>
                <w:szCs w:val="28"/>
              </w:rPr>
              <w:t>The Ranks Building, North Arm Quay</w:t>
            </w:r>
            <w:r w:rsidR="005B731A" w:rsidRPr="00362271">
              <w:rPr>
                <w:bCs/>
                <w:iCs/>
                <w:szCs w:val="28"/>
              </w:rPr>
              <w:t>, TR18 4AH Penzance Cornwall England</w:t>
            </w:r>
          </w:p>
        </w:tc>
        <w:tc>
          <w:tcPr>
            <w:tcW w:w="2001" w:type="dxa"/>
            <w:tcBorders>
              <w:top w:val="single" w:sz="8" w:space="0" w:color="4BACC6"/>
              <w:left w:val="single" w:sz="8" w:space="0" w:color="4BACC6"/>
              <w:bottom w:val="single" w:sz="8" w:space="0" w:color="4BACC6"/>
              <w:right w:val="single" w:sz="8" w:space="0" w:color="4BACC6"/>
            </w:tcBorders>
            <w:shd w:val="clear" w:color="auto" w:fill="D2EAF1"/>
          </w:tcPr>
          <w:p w14:paraId="24716961" w14:textId="77777777" w:rsidR="00163196" w:rsidRPr="001C26BE" w:rsidRDefault="00163196" w:rsidP="00176A82">
            <w:pPr>
              <w:rPr>
                <w:b/>
              </w:rPr>
            </w:pPr>
            <w:r w:rsidRPr="001C26BE">
              <w:rPr>
                <w:b/>
              </w:rPr>
              <w:t>Date of Notification</w:t>
            </w:r>
          </w:p>
        </w:tc>
        <w:tc>
          <w:tcPr>
            <w:tcW w:w="2121" w:type="dxa"/>
            <w:tcBorders>
              <w:top w:val="single" w:sz="8" w:space="0" w:color="4BACC6"/>
              <w:left w:val="single" w:sz="8" w:space="0" w:color="4BACC6"/>
              <w:bottom w:val="single" w:sz="8" w:space="0" w:color="4BACC6"/>
              <w:right w:val="single" w:sz="8" w:space="0" w:color="4BACC6"/>
            </w:tcBorders>
            <w:shd w:val="clear" w:color="auto" w:fill="D2EAF1"/>
          </w:tcPr>
          <w:p w14:paraId="2DE46ED4" w14:textId="5119FDC2" w:rsidR="00163196" w:rsidRPr="001C26BE" w:rsidRDefault="002414B8">
            <w:r>
              <w:t>10</w:t>
            </w:r>
            <w:r w:rsidRPr="009A19FC">
              <w:rPr>
                <w:vertAlign w:val="superscript"/>
              </w:rPr>
              <w:t>th</w:t>
            </w:r>
            <w:r>
              <w:t xml:space="preserve"> </w:t>
            </w:r>
            <w:r w:rsidR="009A19FC">
              <w:t>September 2018</w:t>
            </w:r>
          </w:p>
        </w:tc>
      </w:tr>
      <w:tr w:rsidR="00163196" w:rsidRPr="001C26BE" w14:paraId="71C79E25" w14:textId="77777777" w:rsidTr="00176A82">
        <w:tc>
          <w:tcPr>
            <w:tcW w:w="1562" w:type="dxa"/>
            <w:tcBorders>
              <w:top w:val="single" w:sz="8" w:space="0" w:color="4BACC6"/>
              <w:left w:val="single" w:sz="8" w:space="0" w:color="4BACC6"/>
              <w:bottom w:val="single" w:sz="8" w:space="0" w:color="4BACC6"/>
              <w:right w:val="single" w:sz="8" w:space="0" w:color="4BACC6"/>
            </w:tcBorders>
          </w:tcPr>
          <w:p w14:paraId="56F4C36C" w14:textId="77777777" w:rsidR="00163196" w:rsidRPr="00837301" w:rsidRDefault="00163196" w:rsidP="00176A82">
            <w:pPr>
              <w:rPr>
                <w:b/>
                <w:bCs/>
              </w:rPr>
            </w:pPr>
            <w:r w:rsidRPr="00837301">
              <w:rPr>
                <w:b/>
                <w:bCs/>
              </w:rPr>
              <w:t>Estimated Contract Value:</w:t>
            </w:r>
          </w:p>
        </w:tc>
        <w:tc>
          <w:tcPr>
            <w:tcW w:w="3638" w:type="dxa"/>
            <w:tcBorders>
              <w:top w:val="single" w:sz="8" w:space="0" w:color="4BACC6"/>
              <w:left w:val="single" w:sz="8" w:space="0" w:color="4BACC6"/>
              <w:bottom w:val="single" w:sz="8" w:space="0" w:color="4BACC6"/>
              <w:right w:val="single" w:sz="8" w:space="0" w:color="4BACC6"/>
            </w:tcBorders>
          </w:tcPr>
          <w:p w14:paraId="06F9EFAA" w14:textId="77777777" w:rsidR="00163196" w:rsidRPr="00D434B8" w:rsidRDefault="00F2122E" w:rsidP="00F2122E">
            <w:r>
              <w:t xml:space="preserve">Maximum Value of </w:t>
            </w:r>
            <w:r w:rsidR="00163196" w:rsidRPr="00D434B8">
              <w:t>£</w:t>
            </w:r>
            <w:r w:rsidR="008B67C2">
              <w:t>11</w:t>
            </w:r>
            <w:r>
              <w:t>0</w:t>
            </w:r>
            <w:r w:rsidR="00CD7705">
              <w:t>,000</w:t>
            </w:r>
          </w:p>
        </w:tc>
        <w:tc>
          <w:tcPr>
            <w:tcW w:w="2001" w:type="dxa"/>
            <w:tcBorders>
              <w:top w:val="single" w:sz="8" w:space="0" w:color="4BACC6"/>
              <w:left w:val="single" w:sz="8" w:space="0" w:color="4BACC6"/>
              <w:bottom w:val="single" w:sz="8" w:space="0" w:color="4BACC6"/>
              <w:right w:val="single" w:sz="8" w:space="0" w:color="4BACC6"/>
            </w:tcBorders>
          </w:tcPr>
          <w:p w14:paraId="3D6BEFAD" w14:textId="77777777" w:rsidR="00163196" w:rsidRPr="001C26BE" w:rsidRDefault="00163196" w:rsidP="00176A82">
            <w:pPr>
              <w:rPr>
                <w:b/>
              </w:rPr>
            </w:pPr>
            <w:r w:rsidRPr="001C26BE">
              <w:rPr>
                <w:b/>
              </w:rPr>
              <w:t>Standstill Period</w:t>
            </w:r>
          </w:p>
        </w:tc>
        <w:tc>
          <w:tcPr>
            <w:tcW w:w="2121" w:type="dxa"/>
            <w:tcBorders>
              <w:top w:val="single" w:sz="8" w:space="0" w:color="4BACC6"/>
              <w:left w:val="single" w:sz="8" w:space="0" w:color="4BACC6"/>
              <w:bottom w:val="single" w:sz="8" w:space="0" w:color="4BACC6"/>
              <w:right w:val="single" w:sz="8" w:space="0" w:color="4BACC6"/>
            </w:tcBorders>
          </w:tcPr>
          <w:p w14:paraId="70D68C0C" w14:textId="77777777" w:rsidR="00163196" w:rsidRPr="001C26BE" w:rsidRDefault="00163196" w:rsidP="00176A82">
            <w:r>
              <w:t>N.A.</w:t>
            </w:r>
          </w:p>
        </w:tc>
      </w:tr>
      <w:tr w:rsidR="00163196" w:rsidRPr="001C26BE" w14:paraId="0676E015" w14:textId="77777777" w:rsidTr="00176A82">
        <w:tc>
          <w:tcPr>
            <w:tcW w:w="1562" w:type="dxa"/>
            <w:tcBorders>
              <w:top w:val="single" w:sz="8" w:space="0" w:color="4BACC6"/>
              <w:left w:val="single" w:sz="8" w:space="0" w:color="4BACC6"/>
              <w:bottom w:val="single" w:sz="8" w:space="0" w:color="4BACC6"/>
              <w:right w:val="single" w:sz="8" w:space="0" w:color="4BACC6"/>
            </w:tcBorders>
            <w:shd w:val="clear" w:color="auto" w:fill="D2EAF1"/>
          </w:tcPr>
          <w:p w14:paraId="120ADFF7" w14:textId="77777777" w:rsidR="00163196" w:rsidRPr="00837301" w:rsidRDefault="00163196" w:rsidP="00176A82">
            <w:pPr>
              <w:rPr>
                <w:b/>
                <w:bCs/>
              </w:rPr>
            </w:pPr>
            <w:r w:rsidRPr="00837301">
              <w:rPr>
                <w:b/>
                <w:bCs/>
              </w:rPr>
              <w:t>Tender Type:</w:t>
            </w:r>
          </w:p>
        </w:tc>
        <w:tc>
          <w:tcPr>
            <w:tcW w:w="3638" w:type="dxa"/>
            <w:tcBorders>
              <w:top w:val="single" w:sz="8" w:space="0" w:color="4BACC6"/>
              <w:left w:val="single" w:sz="8" w:space="0" w:color="4BACC6"/>
              <w:bottom w:val="single" w:sz="8" w:space="0" w:color="4BACC6"/>
              <w:right w:val="single" w:sz="8" w:space="0" w:color="4BACC6"/>
            </w:tcBorders>
            <w:shd w:val="clear" w:color="auto" w:fill="D2EAF1"/>
          </w:tcPr>
          <w:p w14:paraId="463EB736" w14:textId="77777777" w:rsidR="00163196" w:rsidRDefault="00534C60" w:rsidP="00176A82">
            <w:r>
              <w:t xml:space="preserve">Sub Threshold - </w:t>
            </w:r>
            <w:r w:rsidR="00163196" w:rsidRPr="00BE5E80">
              <w:t xml:space="preserve">Open </w:t>
            </w:r>
            <w:r w:rsidR="00163196">
              <w:t>Procedure</w:t>
            </w:r>
          </w:p>
          <w:p w14:paraId="6F075A19" w14:textId="77777777" w:rsidR="00163196" w:rsidRPr="002F2B59" w:rsidRDefault="00163196" w:rsidP="00176A82">
            <w:pPr>
              <w:rPr>
                <w:highlight w:val="yellow"/>
              </w:rPr>
            </w:pPr>
            <w:r>
              <w:t>Most Economically Advantageous Tender (Price/Quality)</w:t>
            </w:r>
          </w:p>
        </w:tc>
        <w:tc>
          <w:tcPr>
            <w:tcW w:w="2001" w:type="dxa"/>
            <w:tcBorders>
              <w:top w:val="single" w:sz="8" w:space="0" w:color="4BACC6"/>
              <w:left w:val="single" w:sz="8" w:space="0" w:color="4BACC6"/>
              <w:bottom w:val="single" w:sz="8" w:space="0" w:color="4BACC6"/>
              <w:right w:val="single" w:sz="8" w:space="0" w:color="4BACC6"/>
            </w:tcBorders>
            <w:shd w:val="clear" w:color="auto" w:fill="D2EAF1"/>
          </w:tcPr>
          <w:p w14:paraId="081855DD" w14:textId="77777777" w:rsidR="00163196" w:rsidRPr="001C26BE" w:rsidRDefault="00163196" w:rsidP="00176A82">
            <w:pPr>
              <w:rPr>
                <w:b/>
              </w:rPr>
            </w:pPr>
            <w:r w:rsidRPr="001C26BE">
              <w:rPr>
                <w:b/>
              </w:rPr>
              <w:t>Earliest Date Contract Awarded</w:t>
            </w:r>
          </w:p>
        </w:tc>
        <w:tc>
          <w:tcPr>
            <w:tcW w:w="2121" w:type="dxa"/>
            <w:tcBorders>
              <w:top w:val="single" w:sz="8" w:space="0" w:color="4BACC6"/>
              <w:left w:val="single" w:sz="8" w:space="0" w:color="4BACC6"/>
              <w:bottom w:val="single" w:sz="8" w:space="0" w:color="4BACC6"/>
              <w:right w:val="single" w:sz="8" w:space="0" w:color="4BACC6"/>
            </w:tcBorders>
            <w:shd w:val="clear" w:color="auto" w:fill="D2EAF1"/>
          </w:tcPr>
          <w:p w14:paraId="28A2BE9A" w14:textId="645A7A8A" w:rsidR="00163196" w:rsidRPr="001C26BE" w:rsidRDefault="002414B8" w:rsidP="00176A82">
            <w:r>
              <w:t>14</w:t>
            </w:r>
            <w:r w:rsidRPr="00887C35">
              <w:rPr>
                <w:vertAlign w:val="superscript"/>
              </w:rPr>
              <w:t>th</w:t>
            </w:r>
            <w:r>
              <w:t xml:space="preserve"> September</w:t>
            </w:r>
            <w:r w:rsidR="00025CE6">
              <w:t xml:space="preserve"> 2018</w:t>
            </w:r>
          </w:p>
        </w:tc>
      </w:tr>
      <w:tr w:rsidR="00163196" w:rsidRPr="001C26BE" w14:paraId="0F528D1F" w14:textId="77777777" w:rsidTr="00176A82">
        <w:tc>
          <w:tcPr>
            <w:tcW w:w="1562" w:type="dxa"/>
            <w:tcBorders>
              <w:top w:val="single" w:sz="8" w:space="0" w:color="4BACC6"/>
              <w:left w:val="single" w:sz="8" w:space="0" w:color="4BACC6"/>
              <w:bottom w:val="single" w:sz="8" w:space="0" w:color="4BACC6"/>
              <w:right w:val="single" w:sz="8" w:space="0" w:color="4BACC6"/>
            </w:tcBorders>
          </w:tcPr>
          <w:p w14:paraId="197F39B5" w14:textId="77777777" w:rsidR="00163196" w:rsidRPr="00837301" w:rsidRDefault="00163196" w:rsidP="00176A82">
            <w:pPr>
              <w:rPr>
                <w:b/>
                <w:bCs/>
              </w:rPr>
            </w:pPr>
            <w:r w:rsidRPr="00837301">
              <w:rPr>
                <w:b/>
                <w:bCs/>
              </w:rPr>
              <w:t>Tender Response Requirement</w:t>
            </w:r>
          </w:p>
        </w:tc>
        <w:tc>
          <w:tcPr>
            <w:tcW w:w="3638" w:type="dxa"/>
            <w:tcBorders>
              <w:top w:val="single" w:sz="8" w:space="0" w:color="4BACC6"/>
              <w:left w:val="single" w:sz="8" w:space="0" w:color="4BACC6"/>
              <w:bottom w:val="single" w:sz="8" w:space="0" w:color="4BACC6"/>
              <w:right w:val="single" w:sz="8" w:space="0" w:color="4BACC6"/>
            </w:tcBorders>
          </w:tcPr>
          <w:p w14:paraId="40D59172" w14:textId="77777777" w:rsidR="00163196" w:rsidRPr="00BE5E80" w:rsidRDefault="00163196" w:rsidP="00176A82">
            <w:r>
              <w:t>Quality response D1 – D3</w:t>
            </w:r>
          </w:p>
          <w:p w14:paraId="5C39A132" w14:textId="6E66852C" w:rsidR="00163196" w:rsidRPr="00BE5E80" w:rsidRDefault="00163196" w:rsidP="00176A82">
            <w:r>
              <w:t xml:space="preserve">Price Response </w:t>
            </w:r>
            <w:r w:rsidR="002414B8">
              <w:t xml:space="preserve">- </w:t>
            </w:r>
            <w:r w:rsidR="00AD1AD3">
              <w:t>Annex</w:t>
            </w:r>
            <w:r>
              <w:t xml:space="preserve"> B</w:t>
            </w:r>
          </w:p>
          <w:p w14:paraId="23092A06" w14:textId="6E0FD46E" w:rsidR="00163196" w:rsidRDefault="00163196">
            <w:r>
              <w:t>Standard Selection Questionnaire</w:t>
            </w:r>
            <w:r w:rsidR="002414B8" w:rsidRPr="00BE5E80">
              <w:t xml:space="preserve"> </w:t>
            </w:r>
            <w:r w:rsidR="002414B8">
              <w:t xml:space="preserve">- </w:t>
            </w:r>
            <w:r w:rsidR="00AD1AD3">
              <w:t>Annex</w:t>
            </w:r>
            <w:r w:rsidR="002414B8" w:rsidRPr="00BE5E80">
              <w:t xml:space="preserve"> A </w:t>
            </w:r>
          </w:p>
          <w:p w14:paraId="29E9F2C0" w14:textId="172C82BA" w:rsidR="008D33EB" w:rsidRPr="002A2B4C" w:rsidRDefault="008D33EB">
            <w:r>
              <w:t>Certificate of Bona Fide Tender – Annex C</w:t>
            </w:r>
          </w:p>
        </w:tc>
        <w:tc>
          <w:tcPr>
            <w:tcW w:w="2001" w:type="dxa"/>
            <w:tcBorders>
              <w:top w:val="single" w:sz="8" w:space="0" w:color="4BACC6"/>
              <w:left w:val="single" w:sz="8" w:space="0" w:color="4BACC6"/>
              <w:bottom w:val="single" w:sz="8" w:space="0" w:color="4BACC6"/>
              <w:right w:val="single" w:sz="8" w:space="0" w:color="4BACC6"/>
            </w:tcBorders>
          </w:tcPr>
          <w:p w14:paraId="0F1285B2" w14:textId="77777777" w:rsidR="00163196" w:rsidRPr="001C26BE" w:rsidRDefault="00163196" w:rsidP="00176A82">
            <w:pPr>
              <w:rPr>
                <w:b/>
              </w:rPr>
            </w:pPr>
            <w:r w:rsidRPr="001C26BE">
              <w:rPr>
                <w:b/>
              </w:rPr>
              <w:t>Anticipated Contract Commencement:</w:t>
            </w:r>
          </w:p>
        </w:tc>
        <w:tc>
          <w:tcPr>
            <w:tcW w:w="2121" w:type="dxa"/>
            <w:tcBorders>
              <w:top w:val="single" w:sz="8" w:space="0" w:color="4BACC6"/>
              <w:left w:val="single" w:sz="8" w:space="0" w:color="4BACC6"/>
              <w:bottom w:val="single" w:sz="8" w:space="0" w:color="4BACC6"/>
              <w:right w:val="single" w:sz="8" w:space="0" w:color="4BACC6"/>
            </w:tcBorders>
          </w:tcPr>
          <w:p w14:paraId="549FBE40" w14:textId="4E2DD9A0" w:rsidR="00163196" w:rsidRPr="001C26BE" w:rsidRDefault="00A57997" w:rsidP="00B80B0E">
            <w:r>
              <w:t>14</w:t>
            </w:r>
            <w:r w:rsidR="00226671" w:rsidRPr="00226671">
              <w:rPr>
                <w:vertAlign w:val="superscript"/>
              </w:rPr>
              <w:t>th</w:t>
            </w:r>
            <w:r w:rsidR="00226671">
              <w:t xml:space="preserve"> </w:t>
            </w:r>
            <w:r w:rsidR="00B80B0E">
              <w:t>September</w:t>
            </w:r>
            <w:r>
              <w:t xml:space="preserve"> </w:t>
            </w:r>
            <w:r w:rsidR="00163196">
              <w:t>201</w:t>
            </w:r>
            <w:r w:rsidR="00025CE6">
              <w:t>8</w:t>
            </w:r>
          </w:p>
        </w:tc>
      </w:tr>
      <w:tr w:rsidR="00163196" w:rsidRPr="001C26BE" w14:paraId="3BB7571B" w14:textId="77777777" w:rsidTr="00176A82">
        <w:tc>
          <w:tcPr>
            <w:tcW w:w="1562" w:type="dxa"/>
            <w:tcBorders>
              <w:top w:val="single" w:sz="8" w:space="0" w:color="4BACC6"/>
              <w:left w:val="single" w:sz="8" w:space="0" w:color="4BACC6"/>
              <w:bottom w:val="single" w:sz="8" w:space="0" w:color="4BACC6"/>
              <w:right w:val="single" w:sz="8" w:space="0" w:color="4BACC6"/>
            </w:tcBorders>
            <w:shd w:val="clear" w:color="auto" w:fill="D2EAF1"/>
          </w:tcPr>
          <w:p w14:paraId="6CFC9901" w14:textId="77777777" w:rsidR="00163196" w:rsidRPr="00837301" w:rsidRDefault="00163196" w:rsidP="00176A82">
            <w:pPr>
              <w:rPr>
                <w:b/>
                <w:bCs/>
              </w:rPr>
            </w:pPr>
            <w:r w:rsidRPr="00837301">
              <w:rPr>
                <w:b/>
                <w:bCs/>
              </w:rPr>
              <w:t>Quality/Price Ratio:</w:t>
            </w:r>
          </w:p>
        </w:tc>
        <w:tc>
          <w:tcPr>
            <w:tcW w:w="3638" w:type="dxa"/>
            <w:tcBorders>
              <w:top w:val="single" w:sz="8" w:space="0" w:color="4BACC6"/>
              <w:left w:val="single" w:sz="8" w:space="0" w:color="4BACC6"/>
              <w:bottom w:val="single" w:sz="8" w:space="0" w:color="4BACC6"/>
              <w:right w:val="single" w:sz="8" w:space="0" w:color="4BACC6"/>
            </w:tcBorders>
            <w:shd w:val="clear" w:color="auto" w:fill="D2EAF1"/>
          </w:tcPr>
          <w:p w14:paraId="3186A4CA" w14:textId="48241A30" w:rsidR="00163196" w:rsidRPr="00C540F6" w:rsidRDefault="00163196" w:rsidP="00176A82">
            <w:r>
              <w:t xml:space="preserve">Quality </w:t>
            </w:r>
            <w:r w:rsidR="007566BB">
              <w:t>6</w:t>
            </w:r>
            <w:r w:rsidR="007566BB" w:rsidRPr="00C540F6">
              <w:t>0</w:t>
            </w:r>
            <w:r w:rsidRPr="00C540F6">
              <w:t>%</w:t>
            </w:r>
          </w:p>
          <w:p w14:paraId="156CA2BE" w14:textId="1F6E9D3B" w:rsidR="00163196" w:rsidRPr="002F2B59" w:rsidRDefault="00163196">
            <w:pPr>
              <w:rPr>
                <w:highlight w:val="yellow"/>
              </w:rPr>
            </w:pPr>
            <w:r>
              <w:t xml:space="preserve">Price </w:t>
            </w:r>
            <w:r w:rsidR="007566BB">
              <w:t>4</w:t>
            </w:r>
            <w:r w:rsidR="007566BB" w:rsidRPr="00C540F6">
              <w:t>0</w:t>
            </w:r>
            <w:r w:rsidRPr="00C540F6">
              <w:t xml:space="preserve">% </w:t>
            </w:r>
          </w:p>
        </w:tc>
        <w:tc>
          <w:tcPr>
            <w:tcW w:w="2001" w:type="dxa"/>
            <w:tcBorders>
              <w:top w:val="single" w:sz="8" w:space="0" w:color="4BACC6"/>
              <w:left w:val="single" w:sz="8" w:space="0" w:color="4BACC6"/>
              <w:bottom w:val="single" w:sz="8" w:space="0" w:color="4BACC6"/>
              <w:right w:val="single" w:sz="8" w:space="0" w:color="4BACC6"/>
            </w:tcBorders>
            <w:shd w:val="clear" w:color="auto" w:fill="D2EAF1"/>
          </w:tcPr>
          <w:p w14:paraId="03ABFFD6" w14:textId="77777777" w:rsidR="00163196" w:rsidRPr="001C26BE" w:rsidRDefault="00163196" w:rsidP="00176A82">
            <w:pPr>
              <w:rPr>
                <w:b/>
              </w:rPr>
            </w:pPr>
            <w:r w:rsidRPr="001C26BE">
              <w:rPr>
                <w:b/>
              </w:rPr>
              <w:t>Anticipated Contract Completion</w:t>
            </w:r>
          </w:p>
        </w:tc>
        <w:tc>
          <w:tcPr>
            <w:tcW w:w="2121" w:type="dxa"/>
            <w:tcBorders>
              <w:top w:val="single" w:sz="8" w:space="0" w:color="4BACC6"/>
              <w:left w:val="single" w:sz="8" w:space="0" w:color="4BACC6"/>
              <w:bottom w:val="single" w:sz="8" w:space="0" w:color="4BACC6"/>
              <w:right w:val="single" w:sz="8" w:space="0" w:color="4BACC6"/>
            </w:tcBorders>
            <w:shd w:val="clear" w:color="auto" w:fill="D2EAF1"/>
          </w:tcPr>
          <w:p w14:paraId="788259AE" w14:textId="77777777" w:rsidR="00163196" w:rsidRPr="001C26BE" w:rsidRDefault="00226671" w:rsidP="00025CE6">
            <w:r>
              <w:t>6</w:t>
            </w:r>
            <w:r w:rsidRPr="00226671">
              <w:rPr>
                <w:vertAlign w:val="superscript"/>
              </w:rPr>
              <w:t>th</w:t>
            </w:r>
            <w:r>
              <w:t xml:space="preserve"> March </w:t>
            </w:r>
            <w:r w:rsidR="00025CE6">
              <w:t>201</w:t>
            </w:r>
            <w:r>
              <w:t>9</w:t>
            </w:r>
          </w:p>
        </w:tc>
      </w:tr>
    </w:tbl>
    <w:p w14:paraId="18783D5C" w14:textId="77777777" w:rsidR="00037C5D" w:rsidRPr="00B54F24" w:rsidRDefault="00037C5D" w:rsidP="00037C5D">
      <w:pPr>
        <w:rPr>
          <w:rFonts w:cs="Arial"/>
          <w:sz w:val="20"/>
        </w:rPr>
      </w:pPr>
      <w:bookmarkStart w:id="0" w:name="_GoBack"/>
      <w:bookmarkEnd w:id="0"/>
    </w:p>
    <w:p w14:paraId="57D6B6D5" w14:textId="77777777" w:rsidR="00037C5D" w:rsidRPr="00A7402B" w:rsidRDefault="00037C5D" w:rsidP="00037C5D">
      <w:pPr>
        <w:rPr>
          <w:rFonts w:cs="Arial"/>
          <w:color w:val="0000FF"/>
          <w:sz w:val="20"/>
        </w:rPr>
      </w:pPr>
    </w:p>
    <w:p w14:paraId="6330DCFF" w14:textId="77777777" w:rsidR="00037C5D" w:rsidRDefault="00037C5D" w:rsidP="00037C5D"/>
    <w:p w14:paraId="649B17BF" w14:textId="77777777" w:rsidR="006E23EA" w:rsidRPr="00815E1B" w:rsidRDefault="00BB0864" w:rsidP="000B0C83">
      <w:pPr>
        <w:pStyle w:val="Heading1"/>
        <w:numPr>
          <w:ilvl w:val="0"/>
          <w:numId w:val="14"/>
        </w:numPr>
      </w:pPr>
      <w:r w:rsidRPr="00037C5D">
        <w:br w:type="page"/>
      </w:r>
      <w:bookmarkStart w:id="1" w:name="_Toc226970461"/>
      <w:r w:rsidRPr="007F0C71">
        <w:lastRenderedPageBreak/>
        <w:t>Introduction</w:t>
      </w:r>
      <w:bookmarkEnd w:id="1"/>
    </w:p>
    <w:p w14:paraId="2CEAF6EB" w14:textId="77777777" w:rsidR="00BB0864" w:rsidRDefault="00BB0864" w:rsidP="00BB0864"/>
    <w:p w14:paraId="4D0F6ADD" w14:textId="77777777" w:rsidR="00D903AF" w:rsidRDefault="00D903AF" w:rsidP="000B0C83">
      <w:pPr>
        <w:pStyle w:val="Heading2"/>
        <w:numPr>
          <w:ilvl w:val="1"/>
          <w:numId w:val="10"/>
        </w:numPr>
      </w:pPr>
      <w:r>
        <w:t xml:space="preserve">The Council of the Isles of Scilly </w:t>
      </w:r>
      <w:r w:rsidR="001735F4">
        <w:t>is</w:t>
      </w:r>
      <w:r>
        <w:t xml:space="preserve"> looking for a </w:t>
      </w:r>
      <w:r w:rsidRPr="00870BD0">
        <w:t>single</w:t>
      </w:r>
      <w:r>
        <w:t xml:space="preserve"> Provider to be appointed for the </w:t>
      </w:r>
      <w:r w:rsidR="00836D77">
        <w:t xml:space="preserve">delivery of </w:t>
      </w:r>
      <w:r w:rsidR="001B2E91">
        <w:t>a Rigid Inflatable Boat</w:t>
      </w:r>
      <w:r w:rsidR="007566BB">
        <w:t xml:space="preserve"> and trailer</w:t>
      </w:r>
      <w:r w:rsidR="00836D77">
        <w:t xml:space="preserve"> on the Isles of Scilly</w:t>
      </w:r>
      <w:r w:rsidR="00FE5DDC">
        <w:t xml:space="preserve">. </w:t>
      </w:r>
    </w:p>
    <w:p w14:paraId="638383CA" w14:textId="77777777" w:rsidR="00C40ACD" w:rsidRPr="00C40ACD" w:rsidRDefault="00E84DD4" w:rsidP="000B0C83">
      <w:pPr>
        <w:pStyle w:val="Heading2"/>
        <w:numPr>
          <w:ilvl w:val="1"/>
          <w:numId w:val="10"/>
        </w:numPr>
      </w:pPr>
      <w:r>
        <w:t>Th</w:t>
      </w:r>
      <w:r w:rsidR="00BB0864">
        <w:t xml:space="preserve">is a </w:t>
      </w:r>
      <w:r>
        <w:t>sub-threshold goods contract b</w:t>
      </w:r>
      <w:r w:rsidR="00BB0864">
        <w:t xml:space="preserve">eing procured under the </w:t>
      </w:r>
      <w:r w:rsidR="00640A5C" w:rsidRPr="00DA1499">
        <w:t>open</w:t>
      </w:r>
      <w:r w:rsidR="00BB0864">
        <w:t xml:space="preserve"> procedu</w:t>
      </w:r>
      <w:r w:rsidR="00485C85">
        <w:t>re.</w:t>
      </w:r>
    </w:p>
    <w:p w14:paraId="4763BE9D" w14:textId="77777777" w:rsidR="00BB0864" w:rsidRDefault="00640A5C" w:rsidP="000B0C83">
      <w:pPr>
        <w:pStyle w:val="Heading2"/>
        <w:numPr>
          <w:ilvl w:val="1"/>
          <w:numId w:val="10"/>
        </w:numPr>
      </w:pPr>
      <w:r>
        <w:rPr>
          <w:color w:val="000080"/>
        </w:rPr>
        <w:t>This section is not used</w:t>
      </w:r>
      <w:r w:rsidR="00037C5D" w:rsidRPr="00DF3F40">
        <w:rPr>
          <w:color w:val="000080"/>
        </w:rPr>
        <w:t>.</w:t>
      </w:r>
      <w:r w:rsidR="00037C5D" w:rsidRPr="00DF3F40">
        <w:rPr>
          <w:color w:val="0000FF"/>
        </w:rPr>
        <w:t xml:space="preserve"> </w:t>
      </w:r>
    </w:p>
    <w:p w14:paraId="58946BE5" w14:textId="77777777" w:rsidR="005F4721" w:rsidRPr="00870BD0" w:rsidRDefault="005F4721" w:rsidP="000B0C83">
      <w:pPr>
        <w:pStyle w:val="Heading2"/>
        <w:numPr>
          <w:ilvl w:val="1"/>
          <w:numId w:val="10"/>
        </w:numPr>
      </w:pPr>
      <w:r w:rsidRPr="00870BD0">
        <w:t xml:space="preserve">Section B provides some Background to the Project, </w:t>
      </w:r>
      <w:r w:rsidR="00870BD0" w:rsidRPr="00870BD0">
        <w:t xml:space="preserve">and should be read in parallel </w:t>
      </w:r>
      <w:r w:rsidRPr="00870BD0">
        <w:t xml:space="preserve">with the </w:t>
      </w:r>
      <w:r w:rsidR="00FE5DDC">
        <w:t>other documents</w:t>
      </w:r>
      <w:r w:rsidR="00F538C7">
        <w:t xml:space="preserve"> supplied with this In</w:t>
      </w:r>
      <w:r w:rsidR="00757E19">
        <w:t>vitation to Tender in the tender pack</w:t>
      </w:r>
      <w:r w:rsidR="00F538C7">
        <w:t>.</w:t>
      </w:r>
    </w:p>
    <w:p w14:paraId="50FC0862" w14:textId="77777777" w:rsidR="00BB0864" w:rsidRDefault="005F4721" w:rsidP="000B0C83">
      <w:pPr>
        <w:pStyle w:val="Heading2"/>
        <w:numPr>
          <w:ilvl w:val="1"/>
          <w:numId w:val="10"/>
        </w:numPr>
      </w:pPr>
      <w:r>
        <w:t>Section C</w:t>
      </w:r>
      <w:r w:rsidR="00BB0864">
        <w:t xml:space="preserve"> contains the Instructions to Tenderers a</w:t>
      </w:r>
      <w:r w:rsidR="0099525F">
        <w:t xml:space="preserve">nd </w:t>
      </w:r>
      <w:r>
        <w:t>sets out the</w:t>
      </w:r>
      <w:r w:rsidR="0099525F">
        <w:t xml:space="preserve"> conditions of this ITT.</w:t>
      </w:r>
    </w:p>
    <w:p w14:paraId="6FDA696C" w14:textId="77777777" w:rsidR="00F734A9" w:rsidRDefault="005F4721" w:rsidP="000B0C83">
      <w:pPr>
        <w:pStyle w:val="Heading2"/>
        <w:numPr>
          <w:ilvl w:val="1"/>
          <w:numId w:val="10"/>
        </w:numPr>
      </w:pPr>
      <w:r>
        <w:t xml:space="preserve">Section D provides details on the required response format and explains the evaluation process. </w:t>
      </w:r>
      <w:r w:rsidR="00594BBE">
        <w:t>There</w:t>
      </w:r>
      <w:r w:rsidR="00F734A9">
        <w:t xml:space="preserve"> is also a checklist of additional certificates to complete and sign. Copies </w:t>
      </w:r>
      <w:r w:rsidR="00EA683A">
        <w:t>can be found in Scheduled 1 to 8</w:t>
      </w:r>
      <w:r w:rsidR="00F734A9">
        <w:t>.</w:t>
      </w:r>
      <w:r w:rsidR="00594BBE">
        <w:t xml:space="preserve"> </w:t>
      </w:r>
    </w:p>
    <w:p w14:paraId="290B3B90" w14:textId="77777777" w:rsidR="00BB0864" w:rsidRDefault="00594BBE" w:rsidP="000B0C83">
      <w:pPr>
        <w:pStyle w:val="Heading2"/>
        <w:numPr>
          <w:ilvl w:val="1"/>
          <w:numId w:val="10"/>
        </w:numPr>
      </w:pPr>
      <w:r>
        <w:t>Section E</w:t>
      </w:r>
      <w:r w:rsidR="00BB0864">
        <w:t xml:space="preserve"> contains the </w:t>
      </w:r>
      <w:r w:rsidR="00F734A9">
        <w:t>Scope of Services</w:t>
      </w:r>
      <w:r w:rsidR="00BB0864">
        <w:t>.</w:t>
      </w:r>
    </w:p>
    <w:p w14:paraId="2EF8C95F" w14:textId="77777777" w:rsidR="00BB0864" w:rsidRDefault="00BB0864" w:rsidP="000B0C83">
      <w:pPr>
        <w:pStyle w:val="Heading2"/>
        <w:numPr>
          <w:ilvl w:val="1"/>
          <w:numId w:val="10"/>
        </w:numPr>
      </w:pPr>
      <w:r>
        <w:t>Prior to commencing formal evaluation, Tender Responses will be checked to ensure they are fully compliant with the conditions of Tender. Non-compliant Tender Responses may be rejected by the Authority. Tender Responses which are deemed by the Authority to be fully compliant will proceed to evaluation.</w:t>
      </w:r>
      <w:r w:rsidR="00401EFC">
        <w:t xml:space="preserve"> </w:t>
      </w:r>
      <w:r>
        <w:t xml:space="preserve">These will </w:t>
      </w:r>
      <w:r w:rsidR="00EA683A">
        <w:t>be evaluated using the award</w:t>
      </w:r>
      <w:r>
        <w:t xml:space="preserve"> criteria</w:t>
      </w:r>
      <w:r w:rsidR="00F734A9">
        <w:t xml:space="preserve"> and weightings detailed</w:t>
      </w:r>
      <w:r w:rsidR="00A87D37">
        <w:t xml:space="preserve"> in Table 1 Section D, Clause 16</w:t>
      </w:r>
      <w:r>
        <w:t>.</w:t>
      </w:r>
    </w:p>
    <w:p w14:paraId="195214FC" w14:textId="77777777" w:rsidR="00BB0864" w:rsidRDefault="00BB0864" w:rsidP="000B0C83">
      <w:pPr>
        <w:pStyle w:val="Heading2"/>
        <w:numPr>
          <w:ilvl w:val="1"/>
          <w:numId w:val="10"/>
        </w:numPr>
      </w:pPr>
      <w:r>
        <w:t>Following evaluation of the compliant Tenders and approval of the outcome the Authority intends to appoint a single Provider.</w:t>
      </w:r>
    </w:p>
    <w:p w14:paraId="7CFBC85B" w14:textId="77777777" w:rsidR="00BB0864" w:rsidRDefault="00BB0864" w:rsidP="000B0C83">
      <w:pPr>
        <w:pStyle w:val="Heading1"/>
        <w:numPr>
          <w:ilvl w:val="0"/>
          <w:numId w:val="14"/>
        </w:numPr>
      </w:pPr>
      <w:r>
        <w:br w:type="page"/>
      </w:r>
      <w:r>
        <w:lastRenderedPageBreak/>
        <w:t xml:space="preserve"> </w:t>
      </w:r>
      <w:bookmarkStart w:id="2" w:name="_Toc226970462"/>
      <w:r w:rsidRPr="00E51AA2">
        <w:t>Background to the</w:t>
      </w:r>
      <w:r>
        <w:t xml:space="preserve"> Project</w:t>
      </w:r>
      <w:bookmarkEnd w:id="2"/>
    </w:p>
    <w:p w14:paraId="62424FD4" w14:textId="77777777" w:rsidR="00BB0864" w:rsidRDefault="00BB0864" w:rsidP="00BB0864"/>
    <w:p w14:paraId="24FD7320" w14:textId="77777777" w:rsidR="00760210" w:rsidRPr="00E51AA2" w:rsidRDefault="00760210" w:rsidP="006B7CF2">
      <w:pPr>
        <w:rPr>
          <w:b/>
          <w:color w:val="416CBB"/>
        </w:rPr>
      </w:pPr>
      <w:r w:rsidRPr="00E51AA2">
        <w:rPr>
          <w:b/>
          <w:color w:val="416CBB"/>
        </w:rPr>
        <w:t>The Authority</w:t>
      </w:r>
    </w:p>
    <w:p w14:paraId="2A3656D0" w14:textId="77777777" w:rsidR="00BB0864" w:rsidRDefault="00BB0864" w:rsidP="000B0C83">
      <w:pPr>
        <w:pStyle w:val="Heading3"/>
        <w:numPr>
          <w:ilvl w:val="1"/>
          <w:numId w:val="14"/>
        </w:numPr>
      </w:pPr>
      <w:r>
        <w:t>The Council of the Isles of Scilly can claim that it is unique in terms of its geographical isolation, it</w:t>
      </w:r>
      <w:r w:rsidR="00A87D37">
        <w:t>s</w:t>
      </w:r>
      <w:r>
        <w:t xml:space="preserve"> constitution, history and community and in terms of the broad range of services that it delivers.</w:t>
      </w:r>
    </w:p>
    <w:p w14:paraId="01AD2848" w14:textId="77777777" w:rsidR="00BB0864" w:rsidRDefault="00BB0864" w:rsidP="000B0C83">
      <w:pPr>
        <w:pStyle w:val="Heading2"/>
        <w:numPr>
          <w:ilvl w:val="1"/>
          <w:numId w:val="14"/>
        </w:numPr>
      </w:pPr>
      <w:r>
        <w:t>The Council has responsibility for the provision of children services, adult social care, housing, waste management, recycling, fire services, highways, environmental health, planning and development, registration of births</w:t>
      </w:r>
      <w:r w:rsidR="00836D77">
        <w:t xml:space="preserve">, marriages and deaths, </w:t>
      </w:r>
      <w:r>
        <w:t>coastal-defences, se</w:t>
      </w:r>
      <w:r w:rsidR="00F734A9">
        <w:t>a fisheries, transport, Health overv</w:t>
      </w:r>
      <w:r>
        <w:t>iew, Health and Safety</w:t>
      </w:r>
      <w:r w:rsidR="00F734A9">
        <w:t>,</w:t>
      </w:r>
      <w:r w:rsidR="003A525F">
        <w:t xml:space="preserve"> and emergency planning. </w:t>
      </w:r>
      <w:r w:rsidR="000215F2">
        <w:t xml:space="preserve"> </w:t>
      </w:r>
      <w:r>
        <w:t xml:space="preserve">A complete catalogue of services would give a list of more than 100 services provided to </w:t>
      </w:r>
      <w:r w:rsidR="00836D77">
        <w:t>our</w:t>
      </w:r>
      <w:r w:rsidR="003A525F">
        <w:t xml:space="preserve"> remote island community. </w:t>
      </w:r>
      <w:r w:rsidR="000215F2">
        <w:t xml:space="preserve"> </w:t>
      </w:r>
      <w:r>
        <w:t xml:space="preserve">In addition, the Council is the only remaining public water and sewerage authority left in </w:t>
      </w:r>
      <w:smartTag w:uri="urn:schemas-microsoft-com:office:smarttags" w:element="country-region">
        <w:r>
          <w:t>England</w:t>
        </w:r>
      </w:smartTag>
      <w:r>
        <w:t xml:space="preserve"> and </w:t>
      </w:r>
      <w:smartTag w:uri="urn:schemas-microsoft-com:office:smarttags" w:element="country-region">
        <w:smartTag w:uri="urn:schemas-microsoft-com:office:smarttags" w:element="place">
          <w:r>
            <w:t>Wales</w:t>
          </w:r>
        </w:smartTag>
      </w:smartTag>
      <w:r>
        <w:t xml:space="preserve"> and it operates water systems on St Mary’s and </w:t>
      </w:r>
      <w:proofErr w:type="spellStart"/>
      <w:r>
        <w:t>Bryher</w:t>
      </w:r>
      <w:proofErr w:type="spellEnd"/>
      <w:r>
        <w:t>.</w:t>
      </w:r>
      <w:r w:rsidR="00401EFC">
        <w:t xml:space="preserve"> </w:t>
      </w:r>
      <w:r>
        <w:t>The Council also operates St Mary’s Airport, central to the local economy and the 10th busiest regional passenger airport in the United Kingdom.</w:t>
      </w:r>
      <w:r w:rsidR="006F1919">
        <w:t xml:space="preserve"> </w:t>
      </w:r>
    </w:p>
    <w:p w14:paraId="6AEF06E7" w14:textId="77777777" w:rsidR="00BB0864" w:rsidRDefault="00BB0864" w:rsidP="000B0C83">
      <w:pPr>
        <w:pStyle w:val="Heading2"/>
        <w:numPr>
          <w:ilvl w:val="1"/>
          <w:numId w:val="14"/>
        </w:numPr>
      </w:pPr>
      <w:r>
        <w:t xml:space="preserve">The Council has an important role as a focus for the </w:t>
      </w:r>
      <w:smartTag w:uri="urn:schemas-microsoft-com:office:smarttags" w:element="place">
        <w:r>
          <w:t>Island</w:t>
        </w:r>
        <w:r w:rsidR="00A87D37">
          <w:t>s</w:t>
        </w:r>
      </w:smartTag>
      <w:r w:rsidR="000215F2">
        <w:t>’</w:t>
      </w:r>
      <w:r>
        <w:t xml:space="preserve"> community and has a significant role as a community leader. It is at the centre of the sustainable development of this unique Island Community and work</w:t>
      </w:r>
      <w:r w:rsidR="006F1919">
        <w:t xml:space="preserve">s closely with partners both at a local, regional and national level. </w:t>
      </w:r>
    </w:p>
    <w:p w14:paraId="6EE8C753" w14:textId="77777777" w:rsidR="00BB0864" w:rsidRDefault="00BB0864" w:rsidP="000B0C83">
      <w:pPr>
        <w:pStyle w:val="Heading2"/>
        <w:numPr>
          <w:ilvl w:val="1"/>
          <w:numId w:val="14"/>
        </w:numPr>
      </w:pPr>
      <w:r>
        <w:t xml:space="preserve">As with every </w:t>
      </w:r>
      <w:smartTag w:uri="urn:schemas-microsoft-com:office:smarttags" w:element="place">
        <w:r>
          <w:t>Island</w:t>
        </w:r>
      </w:smartTag>
      <w:r>
        <w:t xml:space="preserve"> authority, the Council is a major employer. It has a total of 205 staff, of which 136 are full-time and 69 work part-time, which means 30 hours or less. Central Services in the Town Hall account for 18 staff, of which 14 are full-time and 4 are part time. The rest are employed within Children’s Services, the fire service, water and sewerage,</w:t>
      </w:r>
      <w:r w:rsidR="00F734A9">
        <w:t xml:space="preserve"> as direct labour force, </w:t>
      </w:r>
      <w:r>
        <w:t>airport staff, in community services, tourist information and the library.</w:t>
      </w:r>
    </w:p>
    <w:p w14:paraId="7333B236" w14:textId="77777777" w:rsidR="00BB0864" w:rsidRDefault="00BB0864" w:rsidP="000B0C83">
      <w:pPr>
        <w:pStyle w:val="Heading2"/>
        <w:numPr>
          <w:ilvl w:val="1"/>
          <w:numId w:val="14"/>
        </w:numPr>
      </w:pPr>
      <w:r>
        <w:t>Many Council Officers and other employees have multiple roles to try and ensure the lowest possible unit cost on staffing.</w:t>
      </w:r>
      <w:r w:rsidR="007F0C71">
        <w:t xml:space="preserve"> </w:t>
      </w:r>
      <w:r>
        <w:t>In recent years the Council has actively sought to increase its corporate capacity and resilience while ensuring it continues to provide value for money in terms of human resources.</w:t>
      </w:r>
    </w:p>
    <w:p w14:paraId="2148B396" w14:textId="77777777" w:rsidR="00BB0864" w:rsidRDefault="00BB0864" w:rsidP="000B0C83">
      <w:pPr>
        <w:pStyle w:val="Heading2"/>
        <w:numPr>
          <w:ilvl w:val="1"/>
          <w:numId w:val="14"/>
        </w:numPr>
      </w:pPr>
      <w:r>
        <w:t xml:space="preserve">The 2001 Census identifies the resident population on Scilly as 2,153, with 1,607 people living on St Mary’s. Most of these live within the administrative centre of Hugh Town. In addition, there are small though significant communities on 4 of the off-islands: 83 residents on St Agnes, 78 on </w:t>
      </w:r>
      <w:proofErr w:type="spellStart"/>
      <w:r>
        <w:t>Bryher</w:t>
      </w:r>
      <w:proofErr w:type="spellEnd"/>
      <w:r>
        <w:t xml:space="preserve">, 167 on </w:t>
      </w:r>
      <w:proofErr w:type="spellStart"/>
      <w:r>
        <w:t>Tresco</w:t>
      </w:r>
      <w:proofErr w:type="spellEnd"/>
      <w:r>
        <w:t xml:space="preserve"> and 113 on </w:t>
      </w:r>
      <w:smartTag w:uri="urn:schemas-microsoft-com:office:smarttags" w:element="place">
        <w:r>
          <w:t>St Martin</w:t>
        </w:r>
      </w:smartTag>
      <w:r>
        <w:t>’s. The population remains stable but is aging rapidly as the young leave for the mainland in pursuit of further education, jobs and homes and the elderly retire to the islands. Issues of access and social exclusion are acutely felt here.</w:t>
      </w:r>
    </w:p>
    <w:p w14:paraId="7D1E3F9B" w14:textId="77777777" w:rsidR="00BB0864" w:rsidRDefault="00BB0864" w:rsidP="000B0C83">
      <w:pPr>
        <w:pStyle w:val="Heading2"/>
        <w:numPr>
          <w:ilvl w:val="1"/>
          <w:numId w:val="14"/>
        </w:numPr>
      </w:pPr>
      <w:r>
        <w:t xml:space="preserve">The exceptional quality of the islands environment reflects its designation as an Area of Outstanding Natural Beauty (AONB), Conservation Area and </w:t>
      </w:r>
      <w:smartTag w:uri="urn:schemas-microsoft-com:office:smarttags" w:element="place">
        <w:smartTag w:uri="urn:schemas-microsoft-com:office:smarttags" w:element="PlaceName">
          <w:r>
            <w:t>Heritage</w:t>
          </w:r>
        </w:smartTag>
        <w:r>
          <w:t xml:space="preserve"> </w:t>
        </w:r>
        <w:smartTag w:uri="urn:schemas-microsoft-com:office:smarttags" w:element="PlaceType">
          <w:r>
            <w:t>Coast</w:t>
          </w:r>
        </w:smartTag>
      </w:smartTag>
      <w:r>
        <w:t>. The Conservation Area and the AONB boundaries are coincidental and cover the entire archipelago. In addition there are 27 Sites of Special Scientific Interest, 236 Scheduled Ancient Monuments, 128 listed buildings (4 Grade 1 and 8 Grade 2*), a Special Area of Conservation (EU Habitats Directive) and a Special Protection Area (EU Birds Directive).</w:t>
      </w:r>
    </w:p>
    <w:p w14:paraId="0C7B0D68" w14:textId="77777777" w:rsidR="00BB0864" w:rsidRDefault="00BB0864" w:rsidP="001B2E91">
      <w:pPr>
        <w:pStyle w:val="Heading2"/>
        <w:numPr>
          <w:ilvl w:val="1"/>
          <w:numId w:val="14"/>
        </w:numPr>
      </w:pPr>
      <w:r>
        <w:lastRenderedPageBreak/>
        <w:t>The economy of the islands is dominated by tourism which leads to significant under employment on the islands. The potential for career development and higher paid jobs is currently limited. Our young people are not exposed on a daily basis to the range of employment, social and cultural opportunities available in the wider world.</w:t>
      </w:r>
    </w:p>
    <w:p w14:paraId="67BDF811" w14:textId="77777777" w:rsidR="001B2E91" w:rsidRPr="001B2E91" w:rsidRDefault="00BB0864" w:rsidP="001B2E91">
      <w:pPr>
        <w:pStyle w:val="Heading2"/>
        <w:numPr>
          <w:ilvl w:val="1"/>
          <w:numId w:val="14"/>
        </w:numPr>
      </w:pPr>
      <w:r>
        <w:t>Additional general information about The Council of the Isles of Scilly can b</w:t>
      </w:r>
      <w:r w:rsidR="00C22F91">
        <w:t xml:space="preserve">e found on </w:t>
      </w:r>
      <w:hyperlink r:id="rId11" w:history="1">
        <w:r w:rsidR="00A87D37" w:rsidRPr="00C5306B">
          <w:rPr>
            <w:rStyle w:val="Hyperlink"/>
          </w:rPr>
          <w:t>www.scilly.gov.uk</w:t>
        </w:r>
      </w:hyperlink>
      <w:r w:rsidR="00A87D37">
        <w:t xml:space="preserve">.  </w:t>
      </w:r>
      <w:r w:rsidRPr="00870BD0">
        <w:t xml:space="preserve">A more detailed brief of the project </w:t>
      </w:r>
      <w:r w:rsidR="003A525F" w:rsidRPr="00870BD0">
        <w:t xml:space="preserve">can be found in </w:t>
      </w:r>
      <w:r w:rsidR="006B3F2A">
        <w:t>Scope of Services attached with this ITT</w:t>
      </w:r>
      <w:r w:rsidR="003A525F" w:rsidRPr="00870BD0">
        <w:t>.</w:t>
      </w:r>
      <w:r w:rsidRPr="00870BD0">
        <w:t xml:space="preserve"> The Authority shall actively </w:t>
      </w:r>
      <w:r w:rsidR="003A525F" w:rsidRPr="00870BD0">
        <w:t xml:space="preserve">manage the resulting </w:t>
      </w:r>
      <w:r w:rsidRPr="00870BD0">
        <w:t xml:space="preserve">key </w:t>
      </w:r>
      <w:r w:rsidR="003A525F" w:rsidRPr="00870BD0">
        <w:t xml:space="preserve">contract </w:t>
      </w:r>
      <w:r w:rsidRPr="00870BD0">
        <w:t>activities including</w:t>
      </w:r>
      <w:r>
        <w:t>: contract review meetings; KPI management and ana</w:t>
      </w:r>
      <w:r w:rsidR="003A525F">
        <w:t>lysis of management information.</w:t>
      </w:r>
    </w:p>
    <w:p w14:paraId="7DE2813C" w14:textId="77777777" w:rsidR="009D329E" w:rsidRDefault="004C1BBA" w:rsidP="001B2E91">
      <w:pPr>
        <w:numPr>
          <w:ilvl w:val="1"/>
          <w:numId w:val="14"/>
        </w:numPr>
        <w:spacing w:before="240" w:after="60"/>
        <w:jc w:val="both"/>
      </w:pPr>
      <w:r>
        <w:t>The Isles of Scilly I</w:t>
      </w:r>
      <w:r w:rsidR="009D329E">
        <w:t xml:space="preserve">nshore </w:t>
      </w:r>
      <w:r>
        <w:t>F</w:t>
      </w:r>
      <w:r w:rsidR="009D329E">
        <w:t xml:space="preserve">isheries and </w:t>
      </w:r>
      <w:r>
        <w:t>C</w:t>
      </w:r>
      <w:r w:rsidR="009D329E">
        <w:t xml:space="preserve">onservation </w:t>
      </w:r>
      <w:r>
        <w:t>A</w:t>
      </w:r>
      <w:r w:rsidR="009D329E">
        <w:t>uthority (IFCA)</w:t>
      </w:r>
      <w:r>
        <w:t xml:space="preserve"> </w:t>
      </w:r>
      <w:r w:rsidR="009D329E">
        <w:t>has a number of statutory duties and responsibilities to ensure that the marine environment within the district is conserved and maintained in a viable state as set out in the Marine and Coastal Access Act 2009. The IFCA district extends six nautical miles seaward from the baseline, in total comprising over 406 square kilometres of sea.</w:t>
      </w:r>
    </w:p>
    <w:p w14:paraId="7584CB90" w14:textId="77777777" w:rsidR="009D329E" w:rsidRDefault="009D329E" w:rsidP="001B2E91">
      <w:pPr>
        <w:numPr>
          <w:ilvl w:val="1"/>
          <w:numId w:val="14"/>
        </w:numPr>
        <w:spacing w:before="240" w:after="60"/>
        <w:jc w:val="both"/>
      </w:pPr>
      <w:r>
        <w:t>A patrol vessel (Matt Lethbridge) is currently used for a mixture of patrol and enforcement duties around the islands. It is also used to deploy scientific equipment such as drop down and towed video cameras. As a small organisation the vessel needs to be versatile and be able to perform a number of functions in differ</w:t>
      </w:r>
      <w:r w:rsidR="001B2E91">
        <w:t>ent sea and weather conditions.</w:t>
      </w:r>
    </w:p>
    <w:p w14:paraId="02823B64" w14:textId="77777777" w:rsidR="001B2E91" w:rsidRDefault="001B2E91" w:rsidP="001B2E91">
      <w:pPr>
        <w:numPr>
          <w:ilvl w:val="1"/>
          <w:numId w:val="14"/>
        </w:numPr>
        <w:spacing w:before="240" w:after="60"/>
        <w:jc w:val="both"/>
      </w:pPr>
      <w:r>
        <w:t xml:space="preserve">The Isles of Scilly, situated 28 nautical miles south west of </w:t>
      </w:r>
      <w:proofErr w:type="spellStart"/>
      <w:r>
        <w:t>Lands</w:t>
      </w:r>
      <w:proofErr w:type="spellEnd"/>
      <w:r>
        <w:t xml:space="preserve"> End, Cornwall, are a group of approximately 200 low-lying granite islands and rocks. There are many shallow areas between the islands, but the archipelago is very exposed to storms and Atlantic swells. The IFCA at sea operations are seasonal, and take place between March and November. </w:t>
      </w:r>
    </w:p>
    <w:p w14:paraId="592D2A57" w14:textId="77777777" w:rsidR="009D329E" w:rsidRDefault="009D329E" w:rsidP="001B2E91">
      <w:pPr>
        <w:numPr>
          <w:ilvl w:val="1"/>
          <w:numId w:val="14"/>
        </w:numPr>
        <w:spacing w:before="240" w:after="60"/>
        <w:jc w:val="both"/>
      </w:pPr>
      <w:r>
        <w:t xml:space="preserve">Currently the </w:t>
      </w:r>
      <w:r w:rsidR="001B2E91">
        <w:t>Isles of Scilly IFCA operate a 7.2</w:t>
      </w:r>
      <w:r>
        <w:t xml:space="preserve"> metre open Rigid Inflatable Boat (RIB) which is limited in its range and the weather in which it can be operated safely. The replacement of the current patrol vessel with a RIB which has an enclosed wheelhouse and larger aft deck would ensure that the Isles of Scilly enforcement and scientific officers are able to carry out their duties to greater effect by extending the range and conditions in which the vessel could be operated in therefore increasing the ability of the Isles of Scilly IFCA to successfully manage ongoing and future </w:t>
      </w:r>
      <w:r w:rsidR="001B2E91">
        <w:t xml:space="preserve">scientific and enforcement activities. </w:t>
      </w:r>
    </w:p>
    <w:p w14:paraId="34BE4298" w14:textId="77777777" w:rsidR="009D329E" w:rsidRPr="004C1BBA" w:rsidRDefault="009D329E" w:rsidP="009D329E">
      <w:pPr>
        <w:ind w:left="907"/>
      </w:pPr>
    </w:p>
    <w:p w14:paraId="020D9CC9" w14:textId="77777777" w:rsidR="00BB0864" w:rsidRPr="00E51AA2" w:rsidRDefault="007F0C71" w:rsidP="000B0C83">
      <w:pPr>
        <w:pStyle w:val="Heading1"/>
        <w:numPr>
          <w:ilvl w:val="0"/>
          <w:numId w:val="14"/>
        </w:numPr>
      </w:pPr>
      <w:r>
        <w:br w:type="page"/>
      </w:r>
      <w:bookmarkStart w:id="3" w:name="_Toc226970463"/>
      <w:r w:rsidR="00C22F91">
        <w:lastRenderedPageBreak/>
        <w:t>Instructions to Tenderers</w:t>
      </w:r>
      <w:bookmarkEnd w:id="3"/>
    </w:p>
    <w:p w14:paraId="5F447D25" w14:textId="77777777" w:rsidR="003C262C" w:rsidRPr="006B7CF2" w:rsidRDefault="003C262C" w:rsidP="006B7CF2">
      <w:pPr>
        <w:pStyle w:val="Heading2"/>
        <w:rPr>
          <w:b/>
          <w:iCs w:val="0"/>
          <w:color w:val="416CBB"/>
        </w:rPr>
      </w:pPr>
      <w:r w:rsidRPr="006B7CF2">
        <w:rPr>
          <w:b/>
          <w:iCs w:val="0"/>
          <w:color w:val="416CBB"/>
        </w:rPr>
        <w:t>General</w:t>
      </w:r>
    </w:p>
    <w:p w14:paraId="6181E223" w14:textId="77777777" w:rsidR="00C22F91" w:rsidRPr="00C22F91" w:rsidRDefault="00C22F91" w:rsidP="000B0C83">
      <w:pPr>
        <w:pStyle w:val="Heading2"/>
        <w:numPr>
          <w:ilvl w:val="1"/>
          <w:numId w:val="14"/>
        </w:numPr>
      </w:pPr>
      <w:r w:rsidRPr="00C22F91">
        <w:t>These instructions are designed to ensure that all Tenderers are give</w:t>
      </w:r>
      <w:r w:rsidR="003A525F">
        <w:t>n equal and fair consideration.</w:t>
      </w:r>
      <w:r w:rsidRPr="00C22F91">
        <w:t xml:space="preserve"> It is important therefore that you provide all the information asked for in t</w:t>
      </w:r>
      <w:r w:rsidR="003A525F">
        <w:t xml:space="preserve">he format and order specified. </w:t>
      </w:r>
      <w:r w:rsidRPr="00C22F91">
        <w:t>Please contact</w:t>
      </w:r>
      <w:r w:rsidR="00E84DD4">
        <w:t xml:space="preserve"> </w:t>
      </w:r>
      <w:hyperlink r:id="rId12" w:history="1">
        <w:r w:rsidR="00E84DD4" w:rsidRPr="00A51B66">
          <w:rPr>
            <w:rStyle w:val="Hyperlink"/>
          </w:rPr>
          <w:t>Goods1@Scilly.gov.uk</w:t>
        </w:r>
      </w:hyperlink>
      <w:r w:rsidR="00E84DD4">
        <w:t xml:space="preserve"> </w:t>
      </w:r>
      <w:r w:rsidR="000215F2">
        <w:t>,</w:t>
      </w:r>
      <w:r w:rsidRPr="00C22F91">
        <w:t xml:space="preserve"> if you have any doubt as to what is required or will have difficulty in provi</w:t>
      </w:r>
      <w:r w:rsidR="003A525F">
        <w:t>ding the information requested.</w:t>
      </w:r>
    </w:p>
    <w:p w14:paraId="4ECD468F" w14:textId="77777777" w:rsidR="00C22F91" w:rsidRPr="00C22F91" w:rsidRDefault="00C22F91" w:rsidP="000B0C83">
      <w:pPr>
        <w:pStyle w:val="Heading2"/>
        <w:numPr>
          <w:ilvl w:val="1"/>
          <w:numId w:val="14"/>
        </w:numPr>
      </w:pPr>
      <w:r w:rsidRPr="00C22F91">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w:t>
      </w:r>
      <w:r w:rsidR="003A525F">
        <w:t xml:space="preserve">s and contractual obligations. </w:t>
      </w:r>
      <w:r w:rsidRPr="00C22F91">
        <w:t>These instructions constitute the Conditions of Tender. Participation in the tender process automatically signals that the Tenderer accepts these Conditions of Participation.</w:t>
      </w:r>
    </w:p>
    <w:p w14:paraId="3418C0BB" w14:textId="77777777" w:rsidR="00C22F91" w:rsidRPr="00C22F91" w:rsidRDefault="00C22F91" w:rsidP="000B0C83">
      <w:pPr>
        <w:pStyle w:val="Heading2"/>
        <w:numPr>
          <w:ilvl w:val="1"/>
          <w:numId w:val="14"/>
        </w:numPr>
      </w:pPr>
      <w:r w:rsidRPr="00C22F91">
        <w:t xml:space="preserve">All </w:t>
      </w:r>
      <w:r w:rsidR="00A87D37">
        <w:t xml:space="preserve">documentation </w:t>
      </w:r>
      <w:r w:rsidR="001C776E" w:rsidRPr="00C22F91">
        <w:t xml:space="preserve">issued in connection with this </w:t>
      </w:r>
      <w:r w:rsidR="0006407B">
        <w:t>Invitation to Tender (</w:t>
      </w:r>
      <w:r w:rsidR="001C776E" w:rsidRPr="00C22F91">
        <w:t>ITT</w:t>
      </w:r>
      <w:r w:rsidR="0006407B">
        <w:t>)</w:t>
      </w:r>
      <w:r w:rsidR="001C776E" w:rsidRPr="00C22F91">
        <w:t xml:space="preserve"> shall remain the property of the Authority and/or as applicable relevant </w:t>
      </w:r>
      <w:r w:rsidR="000215F2">
        <w:t>Other Contracting Bodies (</w:t>
      </w:r>
      <w:r w:rsidR="001C776E" w:rsidRPr="00C22F91">
        <w:t>OCB</w:t>
      </w:r>
      <w:r w:rsidR="000215F2">
        <w:t>)</w:t>
      </w:r>
      <w:r w:rsidR="001C776E" w:rsidRPr="00C22F91">
        <w:t xml:space="preserve"> and shall be used only for the purpose</w:t>
      </w:r>
      <w:r w:rsidR="001C776E">
        <w:t xml:space="preserve"> of this procurement exercise. </w:t>
      </w:r>
      <w:r w:rsidR="001C776E" w:rsidRPr="00C22F91">
        <w:t>All Due Diligence Information shall be either returned to the Authority or securely destroyed by the Tenderer (at the Authority’s option) at the conclusi</w:t>
      </w:r>
      <w:r w:rsidR="001C776E">
        <w:t xml:space="preserve">on of the procurement </w:t>
      </w:r>
      <w:r w:rsidR="003A525F">
        <w:t>exercise.</w:t>
      </w:r>
    </w:p>
    <w:p w14:paraId="34A6852D" w14:textId="77777777" w:rsidR="00C22F91" w:rsidRPr="00C22F91" w:rsidRDefault="00C22F91" w:rsidP="000B0C83">
      <w:pPr>
        <w:pStyle w:val="Heading2"/>
        <w:numPr>
          <w:ilvl w:val="1"/>
          <w:numId w:val="14"/>
        </w:numPr>
      </w:pPr>
      <w:r w:rsidRPr="00C22F91">
        <w:t>The Tenderer shall ensure that each and every sub-contractor, consortium member and adviser abides by the terms of these instructions and the Conditions of Tender.</w:t>
      </w:r>
    </w:p>
    <w:p w14:paraId="734FCE82" w14:textId="77777777" w:rsidR="00C22F91" w:rsidRPr="00C22F91" w:rsidRDefault="00C22F91" w:rsidP="000B0C83">
      <w:pPr>
        <w:pStyle w:val="Heading2"/>
        <w:numPr>
          <w:ilvl w:val="1"/>
          <w:numId w:val="14"/>
        </w:numPr>
      </w:pPr>
      <w:r w:rsidRPr="00C22F91">
        <w:t xml:space="preserve">The </w:t>
      </w:r>
      <w:r w:rsidR="001C776E" w:rsidRPr="00C22F91">
        <w:t>Tenderer shall not make contact with any other employee, agent or consultant of the Authority or any relevant OCB who are in any way connected with this procurement exercise during the period of this procurement exercise, unless instructed otherwise by the</w:t>
      </w:r>
      <w:r w:rsidR="001C776E">
        <w:t xml:space="preserve"> </w:t>
      </w:r>
      <w:r w:rsidRPr="00C22F91">
        <w:t xml:space="preserve">Authority. </w:t>
      </w:r>
    </w:p>
    <w:p w14:paraId="57B25626" w14:textId="77777777" w:rsidR="0099105A" w:rsidRDefault="00C22F91" w:rsidP="000B0C83">
      <w:pPr>
        <w:pStyle w:val="Heading2"/>
        <w:numPr>
          <w:ilvl w:val="1"/>
          <w:numId w:val="14"/>
        </w:numPr>
      </w:pPr>
      <w:r w:rsidRPr="00C22F91">
        <w:t>The Authority shall not be committed to any course of action as a result of:</w:t>
      </w:r>
      <w:bookmarkStart w:id="4" w:name="_DV_M233"/>
      <w:bookmarkEnd w:id="4"/>
    </w:p>
    <w:p w14:paraId="6F9FD2A2" w14:textId="77777777" w:rsidR="0099105A" w:rsidRPr="00D20AE9" w:rsidRDefault="00EB15BE" w:rsidP="00EB15BE">
      <w:pPr>
        <w:pStyle w:val="Bullet"/>
        <w:ind w:left="993" w:hanging="540"/>
      </w:pPr>
      <w:r>
        <w:tab/>
      </w:r>
      <w:r w:rsidR="00C22F91" w:rsidRPr="00D20AE9">
        <w:t>issuing this ITT or any invitation to participate in this procurement exercise;</w:t>
      </w:r>
      <w:bookmarkStart w:id="5" w:name="_DV_M234"/>
      <w:bookmarkStart w:id="6" w:name="_DV_M235"/>
      <w:bookmarkEnd w:id="5"/>
      <w:bookmarkEnd w:id="6"/>
    </w:p>
    <w:p w14:paraId="61608118" w14:textId="77777777" w:rsidR="0099105A" w:rsidRPr="00D20AE9" w:rsidRDefault="00C22F91" w:rsidP="000B0C83">
      <w:pPr>
        <w:pStyle w:val="Bullet"/>
        <w:numPr>
          <w:ilvl w:val="2"/>
          <w:numId w:val="14"/>
        </w:numPr>
        <w:tabs>
          <w:tab w:val="num" w:pos="1440"/>
        </w:tabs>
        <w:ind w:left="1440" w:hanging="720"/>
      </w:pPr>
      <w:r w:rsidRPr="00D20AE9">
        <w:t xml:space="preserve">an invitation to submit any Response in respect of this procurement exercise; </w:t>
      </w:r>
      <w:bookmarkStart w:id="7" w:name="_DV_M236"/>
      <w:bookmarkStart w:id="8" w:name="_DV_M237"/>
      <w:bookmarkEnd w:id="7"/>
      <w:bookmarkEnd w:id="8"/>
    </w:p>
    <w:p w14:paraId="4E455374" w14:textId="77777777" w:rsidR="0099105A" w:rsidRPr="00D20AE9" w:rsidRDefault="00C22F91" w:rsidP="000B0C83">
      <w:pPr>
        <w:pStyle w:val="Bullet"/>
        <w:numPr>
          <w:ilvl w:val="2"/>
          <w:numId w:val="14"/>
        </w:numPr>
        <w:tabs>
          <w:tab w:val="num" w:pos="1440"/>
        </w:tabs>
        <w:ind w:left="1440" w:hanging="720"/>
      </w:pPr>
      <w:r w:rsidRPr="00D20AE9">
        <w:t xml:space="preserve">communicating with a Tenderer or a Tenderer’s representatives or agents in respect of this procurement exercise; or </w:t>
      </w:r>
      <w:bookmarkStart w:id="9" w:name="_DV_M238"/>
      <w:bookmarkStart w:id="10" w:name="_DV_M239"/>
      <w:bookmarkEnd w:id="9"/>
      <w:bookmarkEnd w:id="10"/>
    </w:p>
    <w:p w14:paraId="549F6BE5" w14:textId="77777777" w:rsidR="00C22F91" w:rsidRPr="00D20AE9" w:rsidRDefault="00C22F91" w:rsidP="000B0C83">
      <w:pPr>
        <w:pStyle w:val="Bullet"/>
        <w:numPr>
          <w:ilvl w:val="2"/>
          <w:numId w:val="14"/>
        </w:numPr>
        <w:tabs>
          <w:tab w:val="num" w:pos="1440"/>
        </w:tabs>
        <w:ind w:left="1440" w:hanging="720"/>
      </w:pPr>
      <w:r w:rsidRPr="00D20AE9">
        <w:t xml:space="preserve">any </w:t>
      </w:r>
      <w:r w:rsidR="001C776E" w:rsidRPr="00D20AE9">
        <w:t>other communication between the Authority and/or any relevant OCB (whether directly or by its agents or</w:t>
      </w:r>
      <w:r w:rsidR="001C776E">
        <w:t xml:space="preserve"> representatives) </w:t>
      </w:r>
      <w:r w:rsidRPr="00D20AE9">
        <w:t>and any other party.</w:t>
      </w:r>
      <w:bookmarkStart w:id="11" w:name="_DV_M242"/>
      <w:bookmarkStart w:id="12" w:name="_DV_M243"/>
      <w:bookmarkStart w:id="13" w:name="_DV_M245"/>
      <w:bookmarkStart w:id="14" w:name="_DV_M247"/>
      <w:bookmarkEnd w:id="11"/>
      <w:bookmarkEnd w:id="12"/>
      <w:bookmarkEnd w:id="13"/>
      <w:bookmarkEnd w:id="14"/>
    </w:p>
    <w:p w14:paraId="02FB1978" w14:textId="77777777" w:rsidR="00C22F91" w:rsidRPr="006B7CF2" w:rsidRDefault="00C22F91" w:rsidP="000B0C83">
      <w:pPr>
        <w:pStyle w:val="Heading2"/>
        <w:numPr>
          <w:ilvl w:val="1"/>
          <w:numId w:val="14"/>
        </w:numPr>
      </w:pPr>
      <w:bookmarkStart w:id="15" w:name="_DV_M249"/>
      <w:bookmarkEnd w:id="15"/>
      <w:r w:rsidRPr="00C22F91">
        <w:t>Tenderers shall accept and acknowledge that by issuing this ITT the Authority sha</w:t>
      </w:r>
      <w:r w:rsidR="00EB15BE">
        <w:t xml:space="preserve">ll not be bound to accept any </w:t>
      </w:r>
      <w:r w:rsidRPr="00C22F91">
        <w:t>Tender and reserves the right not to conclude an Agreement for some or all of the services for which Tenders are invited.</w:t>
      </w:r>
    </w:p>
    <w:p w14:paraId="760CCBEF" w14:textId="77777777" w:rsidR="003C262C" w:rsidRPr="006B7CF2" w:rsidRDefault="00C22F91" w:rsidP="000B0C83">
      <w:pPr>
        <w:pStyle w:val="Heading2"/>
        <w:numPr>
          <w:ilvl w:val="1"/>
          <w:numId w:val="14"/>
        </w:numPr>
      </w:pPr>
      <w:r w:rsidRPr="006B7CF2">
        <w:t>The Authority reserves the right to amend, add to or withdraw all, or any par</w:t>
      </w:r>
      <w:r w:rsidRPr="00C22F91">
        <w:t>t of this ITT at any time during the procurement exercise.</w:t>
      </w:r>
    </w:p>
    <w:p w14:paraId="63F88AA2" w14:textId="77777777" w:rsidR="00C22F91" w:rsidRPr="00E51AA2" w:rsidRDefault="00C22F91" w:rsidP="006B7CF2">
      <w:pPr>
        <w:pStyle w:val="Heading8"/>
        <w:rPr>
          <w:color w:val="416CBB"/>
        </w:rPr>
      </w:pPr>
      <w:r w:rsidRPr="006B7CF2">
        <w:rPr>
          <w:color w:val="416CBB"/>
        </w:rPr>
        <w:lastRenderedPageBreak/>
        <w:t>C</w:t>
      </w:r>
      <w:r w:rsidRPr="00E51AA2">
        <w:rPr>
          <w:color w:val="416CBB"/>
        </w:rPr>
        <w:t>onfidentiality</w:t>
      </w:r>
    </w:p>
    <w:p w14:paraId="50EB4E87" w14:textId="77777777" w:rsidR="00172176" w:rsidRDefault="00C22F91" w:rsidP="000B0C83">
      <w:pPr>
        <w:pStyle w:val="Heading2"/>
        <w:numPr>
          <w:ilvl w:val="1"/>
          <w:numId w:val="14"/>
        </w:numPr>
        <w:spacing w:after="240"/>
      </w:pPr>
      <w:bookmarkStart w:id="16" w:name="_Ref115661901"/>
      <w:bookmarkStart w:id="17" w:name="_Ref150568482"/>
      <w:r w:rsidRPr="00C22F91">
        <w:t xml:space="preserve">Subject to the exceptions referred to in paragraph </w:t>
      </w:r>
      <w:r w:rsidR="00D903AF">
        <w:t>C10</w:t>
      </w:r>
      <w:r w:rsidRPr="00C22F91">
        <w:t>, the contents of this ITT are being made available by the Authority on condition that:</w:t>
      </w:r>
      <w:bookmarkEnd w:id="16"/>
      <w:bookmarkEnd w:id="17"/>
      <w:r w:rsidRPr="00C22F91">
        <w:t xml:space="preserve"> </w:t>
      </w:r>
    </w:p>
    <w:p w14:paraId="6E307D89" w14:textId="77777777" w:rsidR="00C22F91" w:rsidRPr="00C22F91" w:rsidRDefault="00C22F91" w:rsidP="000B0C83">
      <w:pPr>
        <w:pStyle w:val="Bullet"/>
        <w:numPr>
          <w:ilvl w:val="2"/>
          <w:numId w:val="14"/>
        </w:numPr>
        <w:tabs>
          <w:tab w:val="num" w:pos="1440"/>
        </w:tabs>
        <w:ind w:left="1440" w:hanging="720"/>
      </w:pPr>
      <w:r w:rsidRPr="00C22F91">
        <w:t>Tenderers shall at all times treat the contents of the ITT and any related documents (together called the ‘Information’) as confidential, save in so far as they are already in the public domain;</w:t>
      </w:r>
    </w:p>
    <w:p w14:paraId="554CF192" w14:textId="77777777" w:rsidR="00C22F91" w:rsidRPr="00C22F91" w:rsidRDefault="00C22F91" w:rsidP="000B0C83">
      <w:pPr>
        <w:pStyle w:val="Bullet"/>
        <w:numPr>
          <w:ilvl w:val="2"/>
          <w:numId w:val="14"/>
        </w:numPr>
        <w:tabs>
          <w:tab w:val="num" w:pos="1440"/>
        </w:tabs>
        <w:ind w:left="1440" w:hanging="720"/>
      </w:pPr>
      <w:r w:rsidRPr="00C22F91">
        <w:t>Tenderers shall not disclose, copy, reproduce, distribute or pass any of the Information to any other person at any time or allow any of these things to happen;</w:t>
      </w:r>
    </w:p>
    <w:p w14:paraId="03DC512C" w14:textId="77777777" w:rsidR="00C22F91" w:rsidRPr="00C22F91" w:rsidRDefault="00C22F91" w:rsidP="000B0C83">
      <w:pPr>
        <w:pStyle w:val="Bullet"/>
        <w:numPr>
          <w:ilvl w:val="2"/>
          <w:numId w:val="14"/>
        </w:numPr>
        <w:tabs>
          <w:tab w:val="num" w:pos="1440"/>
        </w:tabs>
        <w:ind w:left="1440" w:hanging="720"/>
      </w:pPr>
      <w:r w:rsidRPr="00C22F91">
        <w:t>Tenderers shall not use any of the Information for any purpose other than for the purposes of submitting (or deciding whether to submit) a Tender; and</w:t>
      </w:r>
    </w:p>
    <w:p w14:paraId="3622C460" w14:textId="77777777" w:rsidR="00C22F91" w:rsidRPr="00C22F91" w:rsidRDefault="00C22F91" w:rsidP="000B0C83">
      <w:pPr>
        <w:pStyle w:val="Bullet"/>
        <w:numPr>
          <w:ilvl w:val="2"/>
          <w:numId w:val="14"/>
        </w:numPr>
        <w:tabs>
          <w:tab w:val="num" w:pos="1440"/>
        </w:tabs>
        <w:ind w:left="1440" w:hanging="720"/>
      </w:pPr>
      <w:r w:rsidRPr="00C22F91">
        <w:t>Tenderers shall not undertake any publicity activity within any section of the media.</w:t>
      </w:r>
    </w:p>
    <w:p w14:paraId="6ED463F9" w14:textId="77777777" w:rsidR="00C22F91" w:rsidRPr="00C22F91" w:rsidRDefault="00C22F91" w:rsidP="000B0C83">
      <w:pPr>
        <w:pStyle w:val="Heading2"/>
        <w:numPr>
          <w:ilvl w:val="1"/>
          <w:numId w:val="14"/>
        </w:numPr>
        <w:spacing w:after="240"/>
      </w:pPr>
      <w:bookmarkStart w:id="18" w:name="_Ref115662027"/>
      <w:r w:rsidRPr="00C22F91">
        <w:t>Tenderers may disclose, distribute or pass any of the Information to the Tenderer’s advisers, sub-contractors or to another person provided that either:</w:t>
      </w:r>
      <w:bookmarkEnd w:id="18"/>
    </w:p>
    <w:p w14:paraId="650C4423" w14:textId="77777777" w:rsidR="00C22F91" w:rsidRPr="00C22F91" w:rsidRDefault="00C22F91" w:rsidP="000B0C83">
      <w:pPr>
        <w:pStyle w:val="Bullet"/>
        <w:numPr>
          <w:ilvl w:val="2"/>
          <w:numId w:val="14"/>
        </w:numPr>
        <w:tabs>
          <w:tab w:val="num" w:pos="1440"/>
        </w:tabs>
        <w:ind w:left="1440" w:hanging="720"/>
      </w:pPr>
      <w:r w:rsidRPr="00C22F91">
        <w:t>This is done for the sole purpose of enabling a Tender to be submitted and the person receiving the Information undertakes in writing to keep the Information confidential on the same terms as if that person were the Tenderer; or</w:t>
      </w:r>
    </w:p>
    <w:p w14:paraId="229ED626" w14:textId="77777777" w:rsidR="00C22F91" w:rsidRPr="00C22F91" w:rsidRDefault="00D903AF" w:rsidP="000B0C83">
      <w:pPr>
        <w:pStyle w:val="Bullet"/>
        <w:numPr>
          <w:ilvl w:val="2"/>
          <w:numId w:val="14"/>
        </w:numPr>
        <w:tabs>
          <w:tab w:val="num" w:pos="1440"/>
        </w:tabs>
        <w:ind w:left="1440" w:hanging="720"/>
      </w:pPr>
      <w:r>
        <w:t xml:space="preserve">The </w:t>
      </w:r>
      <w:r w:rsidR="00C22F91" w:rsidRPr="00C22F91">
        <w:t>Tenderer obtains the prior written consent of the Authority in relation to such disclosure, distribution or passing of Information; or</w:t>
      </w:r>
    </w:p>
    <w:p w14:paraId="428A24B4" w14:textId="77777777" w:rsidR="00C22F91" w:rsidRPr="00C22F91" w:rsidRDefault="00C22F91" w:rsidP="000B0C83">
      <w:pPr>
        <w:pStyle w:val="Bullet"/>
        <w:numPr>
          <w:ilvl w:val="2"/>
          <w:numId w:val="14"/>
        </w:numPr>
        <w:tabs>
          <w:tab w:val="num" w:pos="1440"/>
        </w:tabs>
        <w:ind w:left="1440" w:hanging="720"/>
      </w:pPr>
      <w:r w:rsidRPr="00C22F91">
        <w:t>The disclosure is made for the sole purpose of obtaining legal advice from external lawyers in relation to the procurement or to any Contract arising from it; or</w:t>
      </w:r>
    </w:p>
    <w:p w14:paraId="48AEF05F" w14:textId="77777777" w:rsidR="00C22F91" w:rsidRPr="00C22F91" w:rsidRDefault="00C22F91" w:rsidP="000B0C83">
      <w:pPr>
        <w:pStyle w:val="Bullet"/>
        <w:numPr>
          <w:ilvl w:val="2"/>
          <w:numId w:val="14"/>
        </w:numPr>
        <w:tabs>
          <w:tab w:val="num" w:pos="1440"/>
        </w:tabs>
        <w:ind w:left="1440" w:hanging="720"/>
      </w:pPr>
      <w:r w:rsidRPr="00C22F91">
        <w:t>The Tenderer is legally required to make such a disclosure.</w:t>
      </w:r>
    </w:p>
    <w:p w14:paraId="7A484453" w14:textId="77777777" w:rsidR="00C22F91" w:rsidRPr="00C22F91" w:rsidRDefault="00C22F91" w:rsidP="000B0C83">
      <w:pPr>
        <w:pStyle w:val="Heading2"/>
        <w:numPr>
          <w:ilvl w:val="1"/>
          <w:numId w:val="14"/>
        </w:numPr>
      </w:pPr>
      <w:bookmarkStart w:id="19" w:name="_Ref117652832"/>
      <w:r w:rsidRPr="00C22F91">
        <w:t xml:space="preserve">In paragraphs </w:t>
      </w:r>
      <w:r w:rsidR="00401EFC" w:rsidRPr="006B7CF2">
        <w:t>C9</w:t>
      </w:r>
      <w:r w:rsidRPr="006B7CF2">
        <w:t xml:space="preserve"> and </w:t>
      </w:r>
      <w:r w:rsidR="00401EFC" w:rsidRPr="006B7CF2">
        <w:t>C10</w:t>
      </w:r>
      <w:r w:rsidRPr="00C22F91">
        <w:t xml:space="preserve"> above the definition of ‘person’ includes but is not limited to any person, firm, body or association, corporate or incorporate.</w:t>
      </w:r>
    </w:p>
    <w:p w14:paraId="41721FDC" w14:textId="77777777" w:rsidR="00172176" w:rsidRDefault="00C22F91" w:rsidP="000B0C83">
      <w:pPr>
        <w:pStyle w:val="Heading2"/>
        <w:numPr>
          <w:ilvl w:val="1"/>
          <w:numId w:val="14"/>
        </w:numPr>
      </w:pPr>
      <w:r w:rsidRPr="00C22F91">
        <w:t>The Authority may disclose detailed information relating to Tenders to its officers, employees, agents or advisers and the Authority may make any of the Contract documents available for private inspection by its officers, employees, agents or advisers.</w:t>
      </w:r>
      <w:r w:rsidR="00401EFC">
        <w:t xml:space="preserve"> </w:t>
      </w:r>
      <w:r w:rsidRPr="00C22F91">
        <w:t>The Authority also reserves the right to disseminate information that is materially relevant to the procurement to all Tenderers, even if the information has only been requested by one Tenderer, subject to the duty to protect each Tenderer</w:t>
      </w:r>
      <w:smartTag w:uri="urn:schemas-microsoft-com:office:smarttags" w:element="PersonName">
        <w:r w:rsidRPr="00C22F91">
          <w:t>'</w:t>
        </w:r>
      </w:smartTag>
      <w:r w:rsidRPr="00C22F91">
        <w:t xml:space="preserve">s commercial confidentiality in relation to its Tender (unless there is a requirement for disclosure under the Freedom of Information Act, as explained in paragraphs </w:t>
      </w:r>
      <w:r w:rsidR="00401EFC">
        <w:t>C13</w:t>
      </w:r>
      <w:r w:rsidRPr="00C22F91">
        <w:t xml:space="preserve"> to </w:t>
      </w:r>
      <w:r w:rsidR="00401EFC">
        <w:t>C16</w:t>
      </w:r>
      <w:r w:rsidRPr="00C22F91">
        <w:t xml:space="preserve"> below).</w:t>
      </w:r>
      <w:bookmarkEnd w:id="19"/>
    </w:p>
    <w:p w14:paraId="523D1090" w14:textId="77777777" w:rsidR="005309C6" w:rsidRDefault="005309C6" w:rsidP="005309C6"/>
    <w:p w14:paraId="0BB155C2" w14:textId="77777777" w:rsidR="005309C6" w:rsidRDefault="005309C6" w:rsidP="005309C6">
      <w:pPr>
        <w:ind w:left="1418" w:hanging="698"/>
      </w:pPr>
      <w:r>
        <w:t>C.12.1</w:t>
      </w:r>
      <w:r>
        <w:tab/>
        <w:t>The tenderer shou</w:t>
      </w:r>
      <w:r w:rsidR="00EB15BE">
        <w:t xml:space="preserve">ld be aware that in support of </w:t>
      </w:r>
      <w:r>
        <w:t>the Government’s transparency agenda for local government, all payments to contractors for more than £500 will be declared on the Council of the Isles of Scilly website.</w:t>
      </w:r>
    </w:p>
    <w:p w14:paraId="2D33A71B" w14:textId="77777777" w:rsidR="005309C6" w:rsidRPr="005309C6" w:rsidRDefault="005309C6" w:rsidP="005309C6"/>
    <w:p w14:paraId="319E700E" w14:textId="77777777" w:rsidR="00172176" w:rsidRPr="00E51AA2" w:rsidRDefault="00172176" w:rsidP="006B7CF2">
      <w:pPr>
        <w:pStyle w:val="Heading8"/>
        <w:rPr>
          <w:color w:val="416CBB"/>
        </w:rPr>
      </w:pPr>
      <w:r w:rsidRPr="00E51AA2">
        <w:rPr>
          <w:color w:val="416CBB"/>
        </w:rPr>
        <w:lastRenderedPageBreak/>
        <w:t>Freedom of Information</w:t>
      </w:r>
      <w:bookmarkStart w:id="20" w:name="_Ref149547605"/>
    </w:p>
    <w:p w14:paraId="263D9A3C" w14:textId="77777777" w:rsidR="00172176" w:rsidRDefault="00C22F91" w:rsidP="000B0C83">
      <w:pPr>
        <w:pStyle w:val="Heading2"/>
        <w:numPr>
          <w:ilvl w:val="1"/>
          <w:numId w:val="14"/>
        </w:numPr>
      </w:pPr>
      <w:r w:rsidRPr="00C22F91">
        <w:t>In accordance with the obligations and duties placed upon public authorities by the Freedom of Information Act 2000 (the ‘</w:t>
      </w:r>
      <w:proofErr w:type="spellStart"/>
      <w:r w:rsidRPr="00C22F91">
        <w:t>FoIA</w:t>
      </w:r>
      <w:proofErr w:type="spellEnd"/>
      <w:r w:rsidRPr="00C22F91">
        <w:t xml:space="preserve">’), the Authority may, acting in accordance with the Secretary of State’s Code of Practice on the Discharge of the Functions of Public Authorities under Part 1 of the said Act, or the EIR be required to disclose information submitted by the Tenderer to the to the Authority. </w:t>
      </w:r>
      <w:bookmarkEnd w:id="20"/>
    </w:p>
    <w:p w14:paraId="2452BEC6" w14:textId="77777777" w:rsidR="00C22F91" w:rsidRPr="00C22F91" w:rsidRDefault="00C22F91" w:rsidP="000B0C83">
      <w:pPr>
        <w:pStyle w:val="Heading2"/>
        <w:numPr>
          <w:ilvl w:val="1"/>
          <w:numId w:val="14"/>
        </w:numPr>
      </w:pPr>
      <w:r w:rsidRPr="00C22F91">
        <w:t xml:space="preserve">In respect of any information submitted by a Tenderer that </w:t>
      </w:r>
      <w:r w:rsidR="00D903AF">
        <w:t xml:space="preserve">it considers to </w:t>
      </w:r>
      <w:r w:rsidRPr="00C22F91">
        <w:t>be commercially sensitive the Tenderer should:</w:t>
      </w:r>
    </w:p>
    <w:p w14:paraId="156D76A4" w14:textId="77777777" w:rsidR="00C22F91" w:rsidRPr="00C22F91" w:rsidRDefault="00C22F91" w:rsidP="000B0C83">
      <w:pPr>
        <w:pStyle w:val="Bullet"/>
        <w:numPr>
          <w:ilvl w:val="2"/>
          <w:numId w:val="14"/>
        </w:numPr>
        <w:tabs>
          <w:tab w:val="num" w:pos="1440"/>
        </w:tabs>
        <w:ind w:left="1440" w:hanging="720"/>
      </w:pPr>
      <w:r w:rsidRPr="00C22F91">
        <w:t>Clearly identify such information as commercially sensitive;</w:t>
      </w:r>
    </w:p>
    <w:p w14:paraId="236D3AB6" w14:textId="77777777" w:rsidR="00C22F91" w:rsidRPr="00C22F91" w:rsidRDefault="00C22F91" w:rsidP="000B0C83">
      <w:pPr>
        <w:pStyle w:val="Bullet"/>
        <w:numPr>
          <w:ilvl w:val="2"/>
          <w:numId w:val="14"/>
        </w:numPr>
        <w:tabs>
          <w:tab w:val="num" w:pos="1440"/>
        </w:tabs>
        <w:ind w:left="1440" w:hanging="720"/>
      </w:pPr>
      <w:r w:rsidRPr="00C22F91">
        <w:t>Explain the potential implications of disclosure of such information; and</w:t>
      </w:r>
    </w:p>
    <w:p w14:paraId="30721662" w14:textId="77777777" w:rsidR="00C22F91" w:rsidRPr="00C22F91" w:rsidRDefault="00C22F91" w:rsidP="000B0C83">
      <w:pPr>
        <w:pStyle w:val="Bullet"/>
        <w:numPr>
          <w:ilvl w:val="2"/>
          <w:numId w:val="14"/>
        </w:numPr>
        <w:tabs>
          <w:tab w:val="num" w:pos="1440"/>
        </w:tabs>
        <w:ind w:left="1440" w:hanging="720"/>
      </w:pPr>
      <w:r w:rsidRPr="00C22F91">
        <w:t>Provide an estimate of the period of time during which the Tenderer believes that such information will remain commercially sensitive.</w:t>
      </w:r>
    </w:p>
    <w:p w14:paraId="23D18545" w14:textId="77777777" w:rsidR="00C22F91" w:rsidRPr="00C22F91" w:rsidRDefault="00C22F91" w:rsidP="000B0C83">
      <w:pPr>
        <w:pStyle w:val="Heading2"/>
        <w:numPr>
          <w:ilvl w:val="1"/>
          <w:numId w:val="14"/>
        </w:numPr>
      </w:pPr>
      <w:bookmarkStart w:id="21" w:name="_Ref149547621"/>
      <w:r w:rsidRPr="00C22F91">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w:t>
      </w:r>
      <w:proofErr w:type="spellStart"/>
      <w:r w:rsidRPr="00C22F91">
        <w:t>FoIA</w:t>
      </w:r>
      <w:proofErr w:type="spellEnd"/>
      <w:r w:rsidRPr="00C22F91">
        <w:t xml:space="preserve"> or the Environmental Information Regulations.</w:t>
      </w:r>
      <w:r w:rsidR="00401EFC">
        <w:t xml:space="preserve"> </w:t>
      </w:r>
      <w:r w:rsidRPr="00C22F91">
        <w:t xml:space="preserve">In particular, the Authority is required to form an independent judgment concerning whether the information is exempt from disclosure under the </w:t>
      </w:r>
      <w:proofErr w:type="spellStart"/>
      <w:r w:rsidRPr="00C22F91">
        <w:t>FoIA</w:t>
      </w:r>
      <w:proofErr w:type="spellEnd"/>
      <w:r w:rsidRPr="00C22F91">
        <w:t xml:space="preserve"> or the EIR and whether the public interest favours disclosure or not.</w:t>
      </w:r>
      <w:r w:rsidR="00401EFC">
        <w:t xml:space="preserve"> </w:t>
      </w:r>
      <w:r w:rsidRPr="00C22F91">
        <w:t>Accordingly, the Authority cannot guarantee that any information marked ‘confidential’ or “commercially sensitive” will not be disclosed.</w:t>
      </w:r>
      <w:bookmarkEnd w:id="21"/>
      <w:r w:rsidRPr="00C22F91">
        <w:t xml:space="preserve"> </w:t>
      </w:r>
    </w:p>
    <w:p w14:paraId="37F26F79" w14:textId="77777777" w:rsidR="00C22F91" w:rsidRPr="00172176" w:rsidRDefault="00C22F91" w:rsidP="000B0C83">
      <w:pPr>
        <w:pStyle w:val="Heading2"/>
        <w:numPr>
          <w:ilvl w:val="1"/>
          <w:numId w:val="14"/>
        </w:numPr>
      </w:pPr>
      <w:r w:rsidRPr="00C22F91">
        <w:t xml:space="preserve">Where a Tenderer receives a request for information under the </w:t>
      </w:r>
      <w:proofErr w:type="spellStart"/>
      <w:r w:rsidRPr="00C22F91">
        <w:t>FoIA</w:t>
      </w:r>
      <w:proofErr w:type="spellEnd"/>
      <w:r w:rsidRPr="00C22F91">
        <w:t xml:space="preserve"> or the EIR during the procurement process, this should be immediately passed on to the Authority and the Tenderer should not attempt to answer the request without first consulting with the Authority.</w:t>
      </w:r>
    </w:p>
    <w:p w14:paraId="6AAB52C4" w14:textId="77777777" w:rsidR="00C22F91" w:rsidRPr="006B7CF2" w:rsidRDefault="00C22F91" w:rsidP="00954471">
      <w:pPr>
        <w:pStyle w:val="Heading8"/>
        <w:rPr>
          <w:color w:val="416CBB"/>
        </w:rPr>
      </w:pPr>
      <w:r w:rsidRPr="006B7CF2">
        <w:rPr>
          <w:color w:val="416CBB"/>
        </w:rPr>
        <w:t>Tender Validity</w:t>
      </w:r>
    </w:p>
    <w:p w14:paraId="499312ED" w14:textId="77777777" w:rsidR="00C22F91" w:rsidRPr="00C22F91" w:rsidRDefault="00C22F91" w:rsidP="000B0C83">
      <w:pPr>
        <w:pStyle w:val="Heading2"/>
        <w:numPr>
          <w:ilvl w:val="1"/>
          <w:numId w:val="14"/>
        </w:numPr>
      </w:pPr>
      <w:r w:rsidRPr="00C22F91">
        <w:t xml:space="preserve">Your Tender should remain open </w:t>
      </w:r>
      <w:r w:rsidR="00467949">
        <w:t>for acceptance for a period of 9</w:t>
      </w:r>
      <w:r w:rsidRPr="00C22F91">
        <w:t>0</w:t>
      </w:r>
      <w:r w:rsidRPr="00C22F91">
        <w:rPr>
          <w:i/>
        </w:rPr>
        <w:t xml:space="preserve"> </w:t>
      </w:r>
      <w:r w:rsidRPr="00C22F91">
        <w:t>days. A Tender valid for a shorter period may be rejected.</w:t>
      </w:r>
    </w:p>
    <w:p w14:paraId="2A49F341" w14:textId="77777777" w:rsidR="00C22F91" w:rsidRPr="006B7CF2" w:rsidRDefault="00C22F91" w:rsidP="00954471">
      <w:pPr>
        <w:pStyle w:val="Heading8"/>
        <w:rPr>
          <w:color w:val="416CBB"/>
        </w:rPr>
      </w:pPr>
      <w:bookmarkStart w:id="22" w:name="_Toc159578285"/>
      <w:r w:rsidRPr="006B7CF2">
        <w:rPr>
          <w:color w:val="416CBB"/>
        </w:rPr>
        <w:t>Timescales</w:t>
      </w:r>
    </w:p>
    <w:bookmarkEnd w:id="22"/>
    <w:p w14:paraId="7205C054" w14:textId="77777777" w:rsidR="00D100B7" w:rsidRDefault="00C22F91" w:rsidP="000B0C83">
      <w:pPr>
        <w:pStyle w:val="Heading2"/>
        <w:numPr>
          <w:ilvl w:val="1"/>
          <w:numId w:val="14"/>
        </w:numPr>
      </w:pPr>
      <w:r w:rsidRPr="00C22F91">
        <w:t>Set out below is the proposed procurement timetable.</w:t>
      </w:r>
      <w:r w:rsidR="00401EFC">
        <w:t xml:space="preserve"> </w:t>
      </w:r>
      <w:r w:rsidRPr="00C22F91">
        <w:t>This is intended as a guide and whilst the Authority does not intend to depart from the timetable it reserves the right to do so at any stage.</w:t>
      </w:r>
    </w:p>
    <w:p w14:paraId="61B04DCD" w14:textId="77777777" w:rsidR="00662C4A" w:rsidRPr="00662C4A" w:rsidRDefault="00662C4A" w:rsidP="00662C4A"/>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7374"/>
      </w:tblGrid>
      <w:tr w:rsidR="00C22F91" w:rsidRPr="00C22F91" w14:paraId="138D6511" w14:textId="77777777">
        <w:tc>
          <w:tcPr>
            <w:tcW w:w="899" w:type="pct"/>
            <w:shd w:val="clear" w:color="auto" w:fill="416CBB"/>
          </w:tcPr>
          <w:p w14:paraId="43A591E8" w14:textId="77777777" w:rsidR="00C22F91" w:rsidRPr="00C22F91" w:rsidRDefault="00C22F91" w:rsidP="00D100B7">
            <w:pPr>
              <w:pStyle w:val="Heading2"/>
              <w:rPr>
                <w:b/>
              </w:rPr>
            </w:pPr>
            <w:r w:rsidRPr="00C22F91">
              <w:rPr>
                <w:b/>
              </w:rPr>
              <w:t>DATE</w:t>
            </w:r>
          </w:p>
        </w:tc>
        <w:tc>
          <w:tcPr>
            <w:tcW w:w="4101" w:type="pct"/>
            <w:shd w:val="clear" w:color="auto" w:fill="416CBB"/>
          </w:tcPr>
          <w:p w14:paraId="41DB425B" w14:textId="77777777" w:rsidR="00C22F91" w:rsidRPr="00C22F91" w:rsidRDefault="00C22F91" w:rsidP="00D100B7">
            <w:pPr>
              <w:pStyle w:val="Heading2"/>
              <w:rPr>
                <w:b/>
              </w:rPr>
            </w:pPr>
            <w:r w:rsidRPr="00C22F91">
              <w:rPr>
                <w:b/>
              </w:rPr>
              <w:t>STAGE</w:t>
            </w:r>
          </w:p>
        </w:tc>
      </w:tr>
      <w:tr w:rsidR="00C22F91" w:rsidRPr="00C22F91" w14:paraId="7373ADD5" w14:textId="77777777">
        <w:tc>
          <w:tcPr>
            <w:tcW w:w="899" w:type="pct"/>
          </w:tcPr>
          <w:p w14:paraId="326B0602" w14:textId="7192A285" w:rsidR="00C22F91" w:rsidRPr="00C22F91" w:rsidRDefault="002414B8">
            <w:pPr>
              <w:pStyle w:val="Heading2"/>
            </w:pPr>
            <w:r>
              <w:t>26</w:t>
            </w:r>
            <w:r w:rsidR="00811913">
              <w:t>/07</w:t>
            </w:r>
            <w:r w:rsidR="00A50B9B">
              <w:t>/1</w:t>
            </w:r>
            <w:r w:rsidR="00E84DD4">
              <w:t>8</w:t>
            </w:r>
          </w:p>
        </w:tc>
        <w:tc>
          <w:tcPr>
            <w:tcW w:w="4101" w:type="pct"/>
          </w:tcPr>
          <w:p w14:paraId="4ED2437B" w14:textId="77777777" w:rsidR="00C22F91" w:rsidRPr="00C22F91" w:rsidRDefault="00C22F91" w:rsidP="00940EDD">
            <w:pPr>
              <w:pStyle w:val="Heading2"/>
            </w:pPr>
            <w:r w:rsidRPr="00C22F91">
              <w:t>ITT to be issued to Tenderers by the Authority</w:t>
            </w:r>
          </w:p>
        </w:tc>
      </w:tr>
      <w:tr w:rsidR="00C22F91" w:rsidRPr="00C22F91" w14:paraId="2574BFD1" w14:textId="77777777">
        <w:tc>
          <w:tcPr>
            <w:tcW w:w="899" w:type="pct"/>
          </w:tcPr>
          <w:p w14:paraId="37E0B0A7" w14:textId="2171AA1A" w:rsidR="00C22F91" w:rsidRPr="00C22F91" w:rsidRDefault="00811913">
            <w:pPr>
              <w:pStyle w:val="Heading2"/>
            </w:pPr>
            <w:r>
              <w:t>2</w:t>
            </w:r>
            <w:r w:rsidR="002414B8">
              <w:t>6</w:t>
            </w:r>
            <w:r>
              <w:t>/07/18</w:t>
            </w:r>
          </w:p>
        </w:tc>
        <w:tc>
          <w:tcPr>
            <w:tcW w:w="4101" w:type="pct"/>
          </w:tcPr>
          <w:p w14:paraId="41E5BC47" w14:textId="77777777" w:rsidR="00C22F91" w:rsidRPr="00C22F91" w:rsidRDefault="00C22F91" w:rsidP="00485C85">
            <w:pPr>
              <w:pStyle w:val="Heading2"/>
            </w:pPr>
            <w:r w:rsidRPr="00C22F91">
              <w:t>Clarification period opens</w:t>
            </w:r>
          </w:p>
        </w:tc>
      </w:tr>
      <w:tr w:rsidR="00C22F91" w:rsidRPr="00C22F91" w14:paraId="6774B133" w14:textId="77777777">
        <w:tc>
          <w:tcPr>
            <w:tcW w:w="899" w:type="pct"/>
          </w:tcPr>
          <w:p w14:paraId="0AEF8E78" w14:textId="77777777" w:rsidR="00C22F91" w:rsidRPr="00C22F91" w:rsidRDefault="00811913" w:rsidP="00E84DD4">
            <w:pPr>
              <w:pStyle w:val="Heading2"/>
            </w:pPr>
            <w:r>
              <w:t>13/08</w:t>
            </w:r>
            <w:r w:rsidR="00A50B9B">
              <w:t>/</w:t>
            </w:r>
            <w:r w:rsidR="00CC589E">
              <w:t>1</w:t>
            </w:r>
            <w:r w:rsidR="00E84DD4">
              <w:t>8</w:t>
            </w:r>
          </w:p>
        </w:tc>
        <w:tc>
          <w:tcPr>
            <w:tcW w:w="4101" w:type="pct"/>
          </w:tcPr>
          <w:p w14:paraId="23394765" w14:textId="77777777" w:rsidR="00C22F91" w:rsidRPr="00C22F91" w:rsidRDefault="0099525F" w:rsidP="00485C85">
            <w:pPr>
              <w:pStyle w:val="Heading2"/>
            </w:pPr>
            <w:r>
              <w:t>Clarification period closes</w:t>
            </w:r>
          </w:p>
        </w:tc>
      </w:tr>
      <w:tr w:rsidR="00C22F91" w:rsidRPr="00C22F91" w14:paraId="159A04D6" w14:textId="77777777">
        <w:tc>
          <w:tcPr>
            <w:tcW w:w="899" w:type="pct"/>
          </w:tcPr>
          <w:p w14:paraId="02BEE49F" w14:textId="20975C92" w:rsidR="00C22F91" w:rsidRPr="00870BD0" w:rsidRDefault="00E84DD4">
            <w:pPr>
              <w:pStyle w:val="Heading2"/>
              <w:rPr>
                <w:b/>
              </w:rPr>
            </w:pPr>
            <w:r>
              <w:rPr>
                <w:b/>
              </w:rPr>
              <w:lastRenderedPageBreak/>
              <w:t>16:00</w:t>
            </w:r>
            <w:r w:rsidR="00EB15BE">
              <w:rPr>
                <w:b/>
              </w:rPr>
              <w:t xml:space="preserve"> </w:t>
            </w:r>
            <w:r w:rsidR="00870BD0">
              <w:rPr>
                <w:b/>
              </w:rPr>
              <w:t xml:space="preserve">GMT on </w:t>
            </w:r>
            <w:r w:rsidR="002414B8">
              <w:rPr>
                <w:b/>
              </w:rPr>
              <w:t>30/08</w:t>
            </w:r>
            <w:r w:rsidR="00811913">
              <w:rPr>
                <w:b/>
              </w:rPr>
              <w:t>/09</w:t>
            </w:r>
            <w:r w:rsidR="004A7A2F">
              <w:rPr>
                <w:b/>
              </w:rPr>
              <w:t xml:space="preserve"> </w:t>
            </w:r>
          </w:p>
        </w:tc>
        <w:tc>
          <w:tcPr>
            <w:tcW w:w="4101" w:type="pct"/>
          </w:tcPr>
          <w:p w14:paraId="70555B3C" w14:textId="77777777" w:rsidR="00C22F91" w:rsidRPr="00C22F91" w:rsidRDefault="00C22F91" w:rsidP="00485C85">
            <w:pPr>
              <w:pStyle w:val="Heading2"/>
            </w:pPr>
            <w:r w:rsidRPr="00C22F91">
              <w:t>Closing date and time for receipt by the Authority of Tenderer Responses to the I</w:t>
            </w:r>
            <w:r w:rsidR="00D53500">
              <w:t>TT</w:t>
            </w:r>
          </w:p>
        </w:tc>
      </w:tr>
      <w:tr w:rsidR="00C22F91" w:rsidRPr="00C22F91" w14:paraId="1890BCD3" w14:textId="77777777">
        <w:tc>
          <w:tcPr>
            <w:tcW w:w="899" w:type="pct"/>
          </w:tcPr>
          <w:p w14:paraId="50B84FD8" w14:textId="013D46AD" w:rsidR="00C22F91" w:rsidRPr="00C22F91" w:rsidRDefault="002414B8" w:rsidP="00E84DD4">
            <w:pPr>
              <w:pStyle w:val="Heading2"/>
            </w:pPr>
            <w:r>
              <w:t>03/09/2018</w:t>
            </w:r>
          </w:p>
        </w:tc>
        <w:tc>
          <w:tcPr>
            <w:tcW w:w="4101" w:type="pct"/>
          </w:tcPr>
          <w:p w14:paraId="49DC03F5" w14:textId="77777777" w:rsidR="00C22F91" w:rsidRPr="00C22F91" w:rsidRDefault="00C22F91" w:rsidP="00485C85">
            <w:pPr>
              <w:pStyle w:val="Heading2"/>
            </w:pPr>
            <w:r w:rsidRPr="00C22F91">
              <w:t>Evaluation of ITT Responses commences</w:t>
            </w:r>
          </w:p>
        </w:tc>
      </w:tr>
      <w:tr w:rsidR="00C22F91" w:rsidRPr="00C22F91" w14:paraId="66A0FB97" w14:textId="77777777">
        <w:tc>
          <w:tcPr>
            <w:tcW w:w="899" w:type="pct"/>
          </w:tcPr>
          <w:p w14:paraId="03A8B6EF" w14:textId="26CCFF7D" w:rsidR="00C22F91" w:rsidRPr="00C22F91" w:rsidRDefault="002414B8" w:rsidP="00E84DD4">
            <w:pPr>
              <w:pStyle w:val="Heading2"/>
            </w:pPr>
            <w:r>
              <w:t>10</w:t>
            </w:r>
            <w:r w:rsidR="00E32C75">
              <w:t>/</w:t>
            </w:r>
            <w:r w:rsidR="00811913">
              <w:t>09</w:t>
            </w:r>
            <w:r w:rsidR="00E84DD4">
              <w:t>/</w:t>
            </w:r>
            <w:r w:rsidR="00A50B9B">
              <w:t>1</w:t>
            </w:r>
            <w:r w:rsidR="00E84DD4">
              <w:t>8</w:t>
            </w:r>
          </w:p>
        </w:tc>
        <w:tc>
          <w:tcPr>
            <w:tcW w:w="4101" w:type="pct"/>
          </w:tcPr>
          <w:p w14:paraId="7A7E9EDA" w14:textId="77777777" w:rsidR="00C22F91" w:rsidRPr="00C22F91" w:rsidRDefault="00C22F91" w:rsidP="00485C85">
            <w:pPr>
              <w:pStyle w:val="Heading2"/>
            </w:pPr>
            <w:r w:rsidRPr="00C22F91">
              <w:t>Notification of proposed appointment</w:t>
            </w:r>
          </w:p>
        </w:tc>
      </w:tr>
      <w:tr w:rsidR="00A50B9B" w:rsidRPr="00C22F91" w14:paraId="0C3D1797" w14:textId="77777777" w:rsidTr="00CC589E">
        <w:trPr>
          <w:trHeight w:val="566"/>
        </w:trPr>
        <w:tc>
          <w:tcPr>
            <w:tcW w:w="899" w:type="pct"/>
          </w:tcPr>
          <w:p w14:paraId="48E0CD5C" w14:textId="77777777" w:rsidR="00A50B9B" w:rsidRDefault="00E84DD4" w:rsidP="00485C85">
            <w:pPr>
              <w:pStyle w:val="Heading2"/>
            </w:pPr>
            <w:r>
              <w:t>Not Applicable</w:t>
            </w:r>
          </w:p>
        </w:tc>
        <w:tc>
          <w:tcPr>
            <w:tcW w:w="4101" w:type="pct"/>
          </w:tcPr>
          <w:p w14:paraId="733325C6" w14:textId="77777777" w:rsidR="00A50B9B" w:rsidRPr="00C22F91" w:rsidRDefault="00A50B9B" w:rsidP="00485C85">
            <w:pPr>
              <w:pStyle w:val="Heading2"/>
            </w:pPr>
            <w:r>
              <w:t>Standstill Period Commences</w:t>
            </w:r>
          </w:p>
        </w:tc>
      </w:tr>
      <w:tr w:rsidR="00C22F91" w:rsidRPr="00C22F91" w14:paraId="675E9826" w14:textId="77777777">
        <w:tc>
          <w:tcPr>
            <w:tcW w:w="899" w:type="pct"/>
          </w:tcPr>
          <w:p w14:paraId="1EBEBCAC" w14:textId="2172316F" w:rsidR="00C22F91" w:rsidRPr="00C22F91" w:rsidRDefault="002414B8" w:rsidP="004A7A2F">
            <w:pPr>
              <w:pStyle w:val="Heading2"/>
            </w:pPr>
            <w:r>
              <w:t>14/09</w:t>
            </w:r>
            <w:r w:rsidR="00E84DD4">
              <w:t>/18</w:t>
            </w:r>
          </w:p>
        </w:tc>
        <w:tc>
          <w:tcPr>
            <w:tcW w:w="4101" w:type="pct"/>
          </w:tcPr>
          <w:p w14:paraId="1658CA89" w14:textId="77777777" w:rsidR="00C22F91" w:rsidRPr="00C22F91" w:rsidRDefault="00CC589E" w:rsidP="00CC589E">
            <w:pPr>
              <w:pStyle w:val="Heading2"/>
            </w:pPr>
            <w:r>
              <w:t xml:space="preserve">The earliest point at which a contract will be entered into by the Council. </w:t>
            </w:r>
          </w:p>
        </w:tc>
      </w:tr>
      <w:tr w:rsidR="00E84DD4" w:rsidRPr="00C22F91" w14:paraId="7487380A" w14:textId="77777777">
        <w:tc>
          <w:tcPr>
            <w:tcW w:w="899" w:type="pct"/>
          </w:tcPr>
          <w:p w14:paraId="32FFD45B" w14:textId="77777777" w:rsidR="00E84DD4" w:rsidRDefault="00811913" w:rsidP="004A7A2F">
            <w:pPr>
              <w:pStyle w:val="Heading2"/>
            </w:pPr>
            <w:r>
              <w:t>06/03</w:t>
            </w:r>
            <w:r w:rsidR="00E84DD4">
              <w:t>/1</w:t>
            </w:r>
            <w:r>
              <w:t>9</w:t>
            </w:r>
          </w:p>
        </w:tc>
        <w:tc>
          <w:tcPr>
            <w:tcW w:w="4101" w:type="pct"/>
          </w:tcPr>
          <w:p w14:paraId="1B8265C7" w14:textId="77777777" w:rsidR="00E84DD4" w:rsidRDefault="00E84DD4" w:rsidP="00CC589E">
            <w:pPr>
              <w:pStyle w:val="Heading2"/>
            </w:pPr>
            <w:r>
              <w:t>Contract to be complete</w:t>
            </w:r>
          </w:p>
        </w:tc>
      </w:tr>
    </w:tbl>
    <w:p w14:paraId="027DD30B" w14:textId="77777777" w:rsidR="00C22F91" w:rsidRPr="006B7CF2" w:rsidRDefault="00C22F91" w:rsidP="00954471">
      <w:pPr>
        <w:pStyle w:val="Heading8"/>
        <w:rPr>
          <w:color w:val="416CBB"/>
        </w:rPr>
      </w:pPr>
      <w:r w:rsidRPr="006B7CF2">
        <w:rPr>
          <w:color w:val="416CBB"/>
        </w:rPr>
        <w:t>Authority’s Contact Details</w:t>
      </w:r>
    </w:p>
    <w:p w14:paraId="301606C4" w14:textId="77777777" w:rsidR="00C22F91" w:rsidRPr="00C22F91" w:rsidRDefault="00C22F91" w:rsidP="000B0C83">
      <w:pPr>
        <w:pStyle w:val="Heading2"/>
        <w:numPr>
          <w:ilvl w:val="1"/>
          <w:numId w:val="14"/>
        </w:numPr>
      </w:pPr>
      <w:r w:rsidRPr="00C22F91">
        <w:t>Unless stated otherwise in these Instructions or in writing from the Authority, all communications from Tenderers (including their sub-contractors, consortium members, consultants and advisers) during the period of this procurement exercise must be directed to the designated Author</w:t>
      </w:r>
      <w:r w:rsidR="00D53500">
        <w:t>ity contact named in paragraph C</w:t>
      </w:r>
      <w:r w:rsidRPr="00C22F91">
        <w:t>.1 above.</w:t>
      </w:r>
      <w:r w:rsidR="005254CE">
        <w:t xml:space="preserve"> All electronic mail shall be sent to </w:t>
      </w:r>
      <w:hyperlink r:id="rId13" w:history="1">
        <w:r w:rsidR="00E84DD4" w:rsidRPr="00A51B66">
          <w:rPr>
            <w:rStyle w:val="Hyperlink"/>
          </w:rPr>
          <w:t>Goods1@scilly.gov.uk</w:t>
        </w:r>
      </w:hyperlink>
      <w:r w:rsidR="00E84DD4">
        <w:t xml:space="preserve"> </w:t>
      </w:r>
      <w:r w:rsidR="005254CE">
        <w:t xml:space="preserve"> </w:t>
      </w:r>
    </w:p>
    <w:p w14:paraId="580E68C4" w14:textId="77777777" w:rsidR="00C22F91" w:rsidRPr="00C22F91" w:rsidRDefault="00C22F91" w:rsidP="000B0C83">
      <w:pPr>
        <w:pStyle w:val="Heading2"/>
        <w:numPr>
          <w:ilvl w:val="1"/>
          <w:numId w:val="14"/>
        </w:numPr>
      </w:pPr>
      <w:r w:rsidRPr="00C22F91">
        <w:t xml:space="preserve">All communications should be clearly headed </w:t>
      </w:r>
      <w:r w:rsidRPr="00DA1499">
        <w:rPr>
          <w:b/>
        </w:rPr>
        <w:t xml:space="preserve">Invitation to Tender for </w:t>
      </w:r>
      <w:r w:rsidR="00E84DD4">
        <w:rPr>
          <w:b/>
        </w:rPr>
        <w:t>RIB</w:t>
      </w:r>
      <w:r w:rsidR="00E32C75">
        <w:rPr>
          <w:b/>
        </w:rPr>
        <w:t xml:space="preserve"> </w:t>
      </w:r>
      <w:r w:rsidRPr="00D82EF8">
        <w:t>and</w:t>
      </w:r>
      <w:r w:rsidRPr="00C22F91">
        <w:t xml:space="preserve"> include the name, contact details and position of the person making the communication. </w:t>
      </w:r>
    </w:p>
    <w:p w14:paraId="3BD616B2" w14:textId="77777777" w:rsidR="00C22F91" w:rsidRPr="00C22F91" w:rsidRDefault="00C22F91" w:rsidP="000B0C83">
      <w:pPr>
        <w:pStyle w:val="Heading3"/>
        <w:numPr>
          <w:ilvl w:val="1"/>
          <w:numId w:val="14"/>
        </w:numPr>
      </w:pPr>
      <w:r w:rsidRPr="00870EF6">
        <w:t xml:space="preserve">Requests for Tender clarifications must be submitted in accordance with the procedure set out in </w:t>
      </w:r>
      <w:r w:rsidR="00736BC1" w:rsidRPr="00736BC1">
        <w:t>C51</w:t>
      </w:r>
      <w:r w:rsidR="00870EF6" w:rsidRPr="00736BC1">
        <w:t xml:space="preserve"> to C5</w:t>
      </w:r>
      <w:r w:rsidR="00736BC1" w:rsidRPr="00736BC1">
        <w:t>7</w:t>
      </w:r>
      <w:r w:rsidRPr="00870EF6">
        <w:t xml:space="preserve"> – Queries Relating to Tender.</w:t>
      </w:r>
    </w:p>
    <w:p w14:paraId="1F318F4C" w14:textId="77777777" w:rsidR="00C22F91" w:rsidRPr="006B7CF2" w:rsidRDefault="00C22F91" w:rsidP="00C40ACD">
      <w:pPr>
        <w:pStyle w:val="Heading8"/>
        <w:rPr>
          <w:color w:val="416CBB"/>
        </w:rPr>
      </w:pPr>
      <w:r w:rsidRPr="006B7CF2">
        <w:rPr>
          <w:color w:val="416CBB"/>
        </w:rPr>
        <w:t>Intention to Submit a Tender</w:t>
      </w:r>
    </w:p>
    <w:p w14:paraId="4B5307E9" w14:textId="77777777" w:rsidR="00C22F91" w:rsidRPr="00C153B0" w:rsidRDefault="005254CE" w:rsidP="000B0C83">
      <w:pPr>
        <w:pStyle w:val="Heading2"/>
        <w:numPr>
          <w:ilvl w:val="1"/>
          <w:numId w:val="14"/>
        </w:numPr>
      </w:pPr>
      <w:r>
        <w:t>Tenderers should</w:t>
      </w:r>
      <w:r w:rsidR="00C22F91" w:rsidRPr="00C22F91">
        <w:t xml:space="preserve"> complete the </w:t>
      </w:r>
      <w:r>
        <w:t>Expression of Interest</w:t>
      </w:r>
      <w:r w:rsidR="00C22F91" w:rsidRPr="00C22F91">
        <w:t xml:space="preserve"> pro-forma </w:t>
      </w:r>
      <w:r>
        <w:t xml:space="preserve">included with the </w:t>
      </w:r>
      <w:r w:rsidR="00C22F91" w:rsidRPr="00C22F91">
        <w:t xml:space="preserve"> ITT </w:t>
      </w:r>
      <w:r>
        <w:t xml:space="preserve">documentation </w:t>
      </w:r>
      <w:r w:rsidR="00C22F91" w:rsidRPr="00C22F91">
        <w:t xml:space="preserve">indicating that they intend to submit a Tender and be bound by the Conditions of Tender and return it to </w:t>
      </w:r>
      <w:hyperlink r:id="rId14" w:history="1">
        <w:r w:rsidR="00E84DD4" w:rsidRPr="00A51B66">
          <w:rPr>
            <w:rStyle w:val="Hyperlink"/>
          </w:rPr>
          <w:t>Goods1@scilly.gov.uk</w:t>
        </w:r>
      </w:hyperlink>
      <w:r w:rsidR="00E84DD4">
        <w:t xml:space="preserve"> </w:t>
      </w:r>
      <w:r>
        <w:t>prior to the closure of the tender process</w:t>
      </w:r>
      <w:r w:rsidR="00C22F91" w:rsidRPr="00C22F91">
        <w:t>.</w:t>
      </w:r>
      <w:r w:rsidR="00C153B0">
        <w:t xml:space="preserve"> </w:t>
      </w:r>
    </w:p>
    <w:p w14:paraId="4B63636A" w14:textId="77777777" w:rsidR="00C22F91" w:rsidRPr="00C22F91" w:rsidRDefault="00C22F91" w:rsidP="000B0C83">
      <w:pPr>
        <w:pStyle w:val="Heading2"/>
        <w:numPr>
          <w:ilvl w:val="1"/>
          <w:numId w:val="14"/>
        </w:numPr>
      </w:pPr>
      <w:r w:rsidRPr="00C22F91">
        <w:t xml:space="preserve">In the event that a Tenderer does not wish to participate further in this procurement exercise, the Tenderer should </w:t>
      </w:r>
      <w:r w:rsidR="005254CE">
        <w:t xml:space="preserve">notify the Council of the Isles of Scilly by email to </w:t>
      </w:r>
      <w:hyperlink r:id="rId15" w:history="1">
        <w:r w:rsidR="00E84DD4" w:rsidRPr="00A51B66">
          <w:rPr>
            <w:rStyle w:val="Hyperlink"/>
          </w:rPr>
          <w:t>Goods1@scilly.gov.uk</w:t>
        </w:r>
      </w:hyperlink>
    </w:p>
    <w:p w14:paraId="3EE9B752" w14:textId="77777777" w:rsidR="00C22F91" w:rsidRPr="006B7CF2" w:rsidRDefault="00C22F91" w:rsidP="00C40ACD">
      <w:pPr>
        <w:pStyle w:val="Heading8"/>
        <w:rPr>
          <w:color w:val="416CBB"/>
        </w:rPr>
      </w:pPr>
      <w:r w:rsidRPr="006B7CF2">
        <w:rPr>
          <w:color w:val="416CBB"/>
        </w:rPr>
        <w:t>Preparation of Tender</w:t>
      </w:r>
    </w:p>
    <w:p w14:paraId="272A8827" w14:textId="77777777" w:rsidR="00C22F91" w:rsidRPr="00C22F91" w:rsidRDefault="00C22F91" w:rsidP="000B0C83">
      <w:pPr>
        <w:pStyle w:val="Heading2"/>
        <w:numPr>
          <w:ilvl w:val="1"/>
          <w:numId w:val="14"/>
        </w:numPr>
      </w:pPr>
      <w:r w:rsidRPr="00C22F91">
        <w:t>Tenderers must obtain for themselves at their own responsibility and expense all information necessary for the preparation of Tenders.</w:t>
      </w:r>
      <w:r w:rsidR="00401EFC">
        <w:t xml:space="preserve"> </w:t>
      </w:r>
      <w:r w:rsidRPr="00C22F91">
        <w:t>Tenderers are solely responsible for the costs and expenses incurred in connection with the preparation and submission of their Tender and all other stages of the selection and evaluation process.</w:t>
      </w:r>
      <w:r w:rsidR="00401EFC">
        <w:t xml:space="preserve"> </w:t>
      </w:r>
      <w:r w:rsidRPr="00C22F91">
        <w:t>Under no circumstances will the Authority, or any of their advisers, be liable for any costs or expenses borne by Tenderers, sub-contractors, suppliers or advisers in this process.</w:t>
      </w:r>
    </w:p>
    <w:p w14:paraId="25B5FEF6" w14:textId="77777777" w:rsidR="00C22F91" w:rsidRPr="00C22F91" w:rsidRDefault="00C22F91" w:rsidP="000B0C83">
      <w:pPr>
        <w:pStyle w:val="Heading2"/>
        <w:numPr>
          <w:ilvl w:val="1"/>
          <w:numId w:val="14"/>
        </w:numPr>
      </w:pPr>
      <w:r w:rsidRPr="00C22F91">
        <w:lastRenderedPageBreak/>
        <w:t>Tenderers are required to complete and provide all information required by the Authority in accordance with the Conditions of Tender and the Invitation to Tender.</w:t>
      </w:r>
      <w:r w:rsidR="00401EFC">
        <w:t xml:space="preserve"> </w:t>
      </w:r>
      <w:r w:rsidRPr="00C22F91">
        <w:t>Failure to comply with the Conditions and the Invitation to Tender may lead the Authority to reject a Tender Response.</w:t>
      </w:r>
    </w:p>
    <w:p w14:paraId="5202DF16" w14:textId="77777777" w:rsidR="00C22F91" w:rsidRPr="00C22F91" w:rsidRDefault="00C22F91" w:rsidP="000B0C83">
      <w:pPr>
        <w:pStyle w:val="Heading2"/>
        <w:numPr>
          <w:ilvl w:val="1"/>
          <w:numId w:val="14"/>
        </w:numPr>
      </w:pPr>
      <w:r w:rsidRPr="00C22F91">
        <w:t>The Authority relies on Tenderers' own analysis and review of information provided.</w:t>
      </w:r>
      <w:r w:rsidR="00401EFC">
        <w:t xml:space="preserve"> </w:t>
      </w:r>
      <w:r w:rsidRPr="00C22F91">
        <w:t>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w:t>
      </w:r>
    </w:p>
    <w:p w14:paraId="53351FEA" w14:textId="77777777" w:rsidR="00C22F91" w:rsidRPr="00C22F91" w:rsidRDefault="00C22F91" w:rsidP="000B0C83">
      <w:pPr>
        <w:pStyle w:val="Heading2"/>
        <w:numPr>
          <w:ilvl w:val="1"/>
          <w:numId w:val="14"/>
        </w:numPr>
      </w:pPr>
      <w:r w:rsidRPr="00C22F91">
        <w:t>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w:t>
      </w:r>
      <w:r w:rsidR="00401EFC">
        <w:t xml:space="preserve"> </w:t>
      </w:r>
      <w:r w:rsidRPr="00C22F91">
        <w:t>Tenderers should notify the Authority promptly of any perceived ambiguity, inconsistency or omission in this ITT, any of its associated documents and/or any other information issued to them during the procurement process.</w:t>
      </w:r>
    </w:p>
    <w:p w14:paraId="38163471" w14:textId="77777777" w:rsidR="00B92632" w:rsidRPr="006B7CF2" w:rsidRDefault="00B92632" w:rsidP="00C40ACD">
      <w:pPr>
        <w:pStyle w:val="Heading8"/>
        <w:rPr>
          <w:color w:val="416CBB"/>
        </w:rPr>
      </w:pPr>
      <w:r w:rsidRPr="006B7CF2">
        <w:rPr>
          <w:color w:val="416CBB"/>
        </w:rPr>
        <w:t>Submission of Tenders</w:t>
      </w:r>
    </w:p>
    <w:p w14:paraId="46E6A420" w14:textId="77777777" w:rsidR="00B92632" w:rsidRPr="00C22F91" w:rsidRDefault="00B92632" w:rsidP="000B0C83">
      <w:pPr>
        <w:pStyle w:val="Heading2"/>
        <w:numPr>
          <w:ilvl w:val="1"/>
          <w:numId w:val="14"/>
        </w:numPr>
      </w:pPr>
      <w:r w:rsidRPr="00C22F91">
        <w:t xml:space="preserve">The Tender must be submitted in the form specified in the </w:t>
      </w:r>
      <w:r>
        <w:t>Instructions to</w:t>
      </w:r>
      <w:r w:rsidRPr="00C22F91">
        <w:t xml:space="preserve"> Tender</w:t>
      </w:r>
      <w:r>
        <w:t>ers</w:t>
      </w:r>
      <w:r w:rsidRPr="00C22F91">
        <w:t xml:space="preserve"> </w:t>
      </w:r>
      <w:r>
        <w:t>in</w:t>
      </w:r>
      <w:r w:rsidRPr="00C22F91">
        <w:t xml:space="preserve"> Section </w:t>
      </w:r>
      <w:r w:rsidR="00D53500">
        <w:t>D</w:t>
      </w:r>
      <w:r>
        <w:t>.</w:t>
      </w:r>
      <w:r w:rsidRPr="00C22F91">
        <w:t xml:space="preserve"> Failure to do so may render the Response non-compliant and it may be rejected.</w:t>
      </w:r>
    </w:p>
    <w:p w14:paraId="193327A2" w14:textId="77777777" w:rsidR="00B92632" w:rsidRPr="00C22F91" w:rsidRDefault="00B92632" w:rsidP="000B0C83">
      <w:pPr>
        <w:pStyle w:val="Heading2"/>
        <w:numPr>
          <w:ilvl w:val="1"/>
          <w:numId w:val="14"/>
        </w:numPr>
      </w:pPr>
      <w:r w:rsidRPr="00C22F91">
        <w:t xml:space="preserve">The Authority may at its own absolute discretion extend the closing date and the time for receipt </w:t>
      </w:r>
      <w:r w:rsidR="00D53500">
        <w:t>of Tenders</w:t>
      </w:r>
      <w:r w:rsidRPr="00C22F91">
        <w:t xml:space="preserve">. </w:t>
      </w:r>
    </w:p>
    <w:p w14:paraId="5A843AAE" w14:textId="77777777" w:rsidR="00B92632" w:rsidRPr="00C22F91" w:rsidRDefault="00B92632" w:rsidP="000B0C83">
      <w:pPr>
        <w:pStyle w:val="Heading2"/>
        <w:numPr>
          <w:ilvl w:val="1"/>
          <w:numId w:val="14"/>
        </w:numPr>
      </w:pPr>
      <w:r>
        <w:t>Any extension granted will apply to all Tenderers.</w:t>
      </w:r>
    </w:p>
    <w:p w14:paraId="1DCC1455" w14:textId="77777777" w:rsidR="00B92632" w:rsidRPr="00C22F91" w:rsidRDefault="00B92632" w:rsidP="000B0C83">
      <w:pPr>
        <w:pStyle w:val="Heading2"/>
        <w:numPr>
          <w:ilvl w:val="1"/>
          <w:numId w:val="14"/>
        </w:numPr>
        <w:spacing w:after="240"/>
      </w:pPr>
      <w:r w:rsidRPr="00C22F91">
        <w:t>Tenderers must submit:</w:t>
      </w:r>
    </w:p>
    <w:p w14:paraId="3934C2AB" w14:textId="77777777" w:rsidR="00B92632" w:rsidRPr="00C22F91" w:rsidRDefault="00B92632" w:rsidP="000B0C83">
      <w:pPr>
        <w:pStyle w:val="Bullet"/>
        <w:numPr>
          <w:ilvl w:val="2"/>
          <w:numId w:val="14"/>
        </w:numPr>
        <w:tabs>
          <w:tab w:val="num" w:pos="1440"/>
        </w:tabs>
        <w:ind w:left="1440" w:hanging="720"/>
      </w:pPr>
      <w:r w:rsidRPr="00035096">
        <w:rPr>
          <w:b/>
        </w:rPr>
        <w:t>one original bound priced</w:t>
      </w:r>
      <w:r w:rsidRPr="00C22F91">
        <w:t xml:space="preserve"> hard copy of their Tender (clearly marked Master Copy); </w:t>
      </w:r>
    </w:p>
    <w:p w14:paraId="381CE008" w14:textId="77777777" w:rsidR="00B92632" w:rsidRPr="00C22F91" w:rsidRDefault="00F14897" w:rsidP="000B0C83">
      <w:pPr>
        <w:pStyle w:val="Bullet"/>
        <w:numPr>
          <w:ilvl w:val="2"/>
          <w:numId w:val="14"/>
        </w:numPr>
        <w:tabs>
          <w:tab w:val="num" w:pos="1440"/>
        </w:tabs>
        <w:ind w:left="1440" w:hanging="720"/>
      </w:pPr>
      <w:r>
        <w:rPr>
          <w:b/>
        </w:rPr>
        <w:t>an electronic copy</w:t>
      </w:r>
      <w:r w:rsidR="00EB15BE">
        <w:rPr>
          <w:b/>
        </w:rPr>
        <w:t xml:space="preserve">, on </w:t>
      </w:r>
      <w:r w:rsidR="00035096">
        <w:rPr>
          <w:b/>
        </w:rPr>
        <w:t>a USB memory stick,</w:t>
      </w:r>
      <w:r w:rsidR="00B92632" w:rsidRPr="00540907">
        <w:t xml:space="preserve"> </w:t>
      </w:r>
      <w:r w:rsidR="00B92632" w:rsidRPr="00C22F91">
        <w:t>of their Tender</w:t>
      </w:r>
      <w:r>
        <w:t xml:space="preserve"> in a MS word compatible format or in .pdf</w:t>
      </w:r>
      <w:r w:rsidR="00035096">
        <w:t xml:space="preserve"> format. A copy of the financial information in response to D4 should also be included in MS Excel. It should be noted that tenders </w:t>
      </w:r>
      <w:r w:rsidR="00035096" w:rsidRPr="00035096">
        <w:rPr>
          <w:b/>
        </w:rPr>
        <w:t>cannot</w:t>
      </w:r>
      <w:r w:rsidR="00035096">
        <w:t xml:space="preserve"> be submitted by email </w:t>
      </w:r>
    </w:p>
    <w:p w14:paraId="46CB5871" w14:textId="77777777" w:rsidR="00B92632" w:rsidRPr="00C22F91" w:rsidRDefault="00B92632" w:rsidP="000B0C83">
      <w:pPr>
        <w:pStyle w:val="Bullet"/>
        <w:numPr>
          <w:ilvl w:val="1"/>
          <w:numId w:val="14"/>
        </w:numPr>
      </w:pPr>
      <w:r w:rsidRPr="00C22F91">
        <w:t>The original and the copies must be provided on A4 paper</w:t>
      </w:r>
      <w:r w:rsidR="00035096">
        <w:t xml:space="preserve"> (except where the requirement of the response makes this impractical)</w:t>
      </w:r>
      <w:r w:rsidRPr="00C22F91">
        <w:t xml:space="preserve">, </w:t>
      </w:r>
      <w:r w:rsidR="00035096">
        <w:t>single line</w:t>
      </w:r>
      <w:r w:rsidRPr="00C22F91">
        <w:t xml:space="preserve"> spaced, in Arial with a minimum size 11 font</w:t>
      </w:r>
      <w:r w:rsidR="000654AD">
        <w:t xml:space="preserve"> (or equivalent)</w:t>
      </w:r>
      <w:r w:rsidRPr="00C22F91">
        <w:t xml:space="preserve"> and securely bound and signed by the Tenderer’s authorised representative.</w:t>
      </w:r>
    </w:p>
    <w:p w14:paraId="020CB01C" w14:textId="77777777" w:rsidR="00B92632" w:rsidRDefault="00B92632" w:rsidP="000B0C83">
      <w:pPr>
        <w:pStyle w:val="Heading2"/>
        <w:numPr>
          <w:ilvl w:val="1"/>
          <w:numId w:val="14"/>
        </w:numPr>
        <w:spacing w:after="240"/>
      </w:pPr>
      <w:r w:rsidRPr="00C22F91">
        <w:t>In line with Government objectives to achieve ISO14001:2004 (Environmental Management Systems), the Authority asks that you do not include any of the following with your Tender:</w:t>
      </w:r>
    </w:p>
    <w:p w14:paraId="3BCCD978" w14:textId="77777777" w:rsidR="00863156" w:rsidRDefault="00B92632" w:rsidP="000B0C83">
      <w:pPr>
        <w:pStyle w:val="Bullet"/>
        <w:numPr>
          <w:ilvl w:val="2"/>
          <w:numId w:val="14"/>
        </w:numPr>
        <w:tabs>
          <w:tab w:val="num" w:pos="1440"/>
        </w:tabs>
        <w:ind w:left="1440" w:hanging="720"/>
      </w:pPr>
      <w:r w:rsidRPr="00C22F91">
        <w:t xml:space="preserve">Any lever arch folder or ring binder; </w:t>
      </w:r>
    </w:p>
    <w:p w14:paraId="3CBFAC62" w14:textId="77777777" w:rsidR="00B92632" w:rsidRPr="00C22F91" w:rsidRDefault="00B92632" w:rsidP="000B0C83">
      <w:pPr>
        <w:pStyle w:val="Bullet"/>
        <w:numPr>
          <w:ilvl w:val="2"/>
          <w:numId w:val="14"/>
        </w:numPr>
        <w:tabs>
          <w:tab w:val="num" w:pos="1440"/>
        </w:tabs>
        <w:ind w:left="1440" w:hanging="720"/>
      </w:pPr>
      <w:r w:rsidRPr="00C22F91">
        <w:t>or any extraneous information that has not been specifically requested in the ITT including, for example, sales literature, Tenderers’ standard terms and conditions etc.</w:t>
      </w:r>
    </w:p>
    <w:p w14:paraId="204509A4" w14:textId="77777777" w:rsidR="00B92632" w:rsidRPr="00C22F91" w:rsidRDefault="00863156" w:rsidP="000B0C83">
      <w:pPr>
        <w:pStyle w:val="Heading2"/>
        <w:numPr>
          <w:ilvl w:val="1"/>
          <w:numId w:val="14"/>
        </w:numPr>
      </w:pPr>
      <w:r>
        <w:lastRenderedPageBreak/>
        <w:t>Not Used</w:t>
      </w:r>
    </w:p>
    <w:p w14:paraId="138F8A7C" w14:textId="77777777" w:rsidR="00B92632" w:rsidRPr="00C22F91" w:rsidRDefault="00B92632" w:rsidP="000B0C83">
      <w:pPr>
        <w:pStyle w:val="Heading2"/>
        <w:numPr>
          <w:ilvl w:val="1"/>
          <w:numId w:val="14"/>
        </w:numPr>
      </w:pPr>
      <w:r w:rsidRPr="00C22F91">
        <w:t>The Tender and any documents accompanying it must be in the English language.</w:t>
      </w:r>
    </w:p>
    <w:p w14:paraId="04C0697A" w14:textId="77777777" w:rsidR="00B92632" w:rsidRPr="00C22F91" w:rsidRDefault="00B92632" w:rsidP="000B0C83">
      <w:pPr>
        <w:pStyle w:val="Heading2"/>
        <w:numPr>
          <w:ilvl w:val="1"/>
          <w:numId w:val="14"/>
        </w:numPr>
      </w:pPr>
      <w:r w:rsidRPr="00C22F91">
        <w:t>Price and any financial data provided must be submitted in or converted into pounds sterling. Where official documents include financial data in a foreign currency, a sterl</w:t>
      </w:r>
      <w:r w:rsidR="00863156">
        <w:t>ing equivalent must be provided along with the exchange rate used and date on which it was applied/was valid.</w:t>
      </w:r>
    </w:p>
    <w:p w14:paraId="649B2A29" w14:textId="6E04B2B6" w:rsidR="00B92632" w:rsidRPr="00C22F91" w:rsidRDefault="00B92632" w:rsidP="000B0C83">
      <w:pPr>
        <w:pStyle w:val="Heading2"/>
        <w:numPr>
          <w:ilvl w:val="1"/>
          <w:numId w:val="14"/>
        </w:numPr>
      </w:pPr>
      <w:r w:rsidRPr="00C22F91">
        <w:t>It is recommended that the ITT envelopes and packages are submitted by registered post, recorded delivery service or delivered by hand, and must bear no reference to the Tenderer by name marked on the envelope or in the franking thereon.</w:t>
      </w:r>
      <w:r w:rsidR="00401EFC">
        <w:t xml:space="preserve"> </w:t>
      </w:r>
      <w:r w:rsidRPr="00A87D37">
        <w:rPr>
          <w:b/>
        </w:rPr>
        <w:t>Tenders are to be returned and received by the Authority to</w:t>
      </w:r>
      <w:r w:rsidR="00A260B1">
        <w:rPr>
          <w:b/>
        </w:rPr>
        <w:t xml:space="preserve">:  The </w:t>
      </w:r>
      <w:r w:rsidRPr="00A87D37">
        <w:rPr>
          <w:b/>
        </w:rPr>
        <w:t xml:space="preserve">Chief Executive, Council of the Isles of Scilly, Town Hall, St Mary’s Isles of Scilly, TR21 0LA by no later than </w:t>
      </w:r>
      <w:r w:rsidR="00863156">
        <w:rPr>
          <w:b/>
        </w:rPr>
        <w:t>16</w:t>
      </w:r>
      <w:r w:rsidR="005152C4">
        <w:rPr>
          <w:b/>
        </w:rPr>
        <w:t>:00</w:t>
      </w:r>
      <w:r w:rsidRPr="00DA1499">
        <w:rPr>
          <w:b/>
        </w:rPr>
        <w:t xml:space="preserve"> GMT on </w:t>
      </w:r>
      <w:r w:rsidR="002414B8">
        <w:rPr>
          <w:b/>
        </w:rPr>
        <w:t>30</w:t>
      </w:r>
      <w:r w:rsidR="002414B8" w:rsidRPr="00811913">
        <w:rPr>
          <w:b/>
          <w:vertAlign w:val="superscript"/>
        </w:rPr>
        <w:t>th</w:t>
      </w:r>
      <w:r w:rsidR="002414B8">
        <w:rPr>
          <w:b/>
        </w:rPr>
        <w:t xml:space="preserve"> August </w:t>
      </w:r>
      <w:r w:rsidR="00863156">
        <w:rPr>
          <w:b/>
        </w:rPr>
        <w:t>201</w:t>
      </w:r>
      <w:r w:rsidR="00811913">
        <w:rPr>
          <w:b/>
        </w:rPr>
        <w:t>8</w:t>
      </w:r>
      <w:r w:rsidRPr="00C22F91">
        <w:t>.</w:t>
      </w:r>
      <w:r w:rsidR="00401EFC">
        <w:t xml:space="preserve"> </w:t>
      </w:r>
      <w:r w:rsidR="00A260B1">
        <w:t xml:space="preserve"> </w:t>
      </w:r>
      <w:r w:rsidRPr="00C22F91">
        <w:t>Responses received after this date will not be accepted.</w:t>
      </w:r>
    </w:p>
    <w:p w14:paraId="2FAD539E" w14:textId="5FB86DA9" w:rsidR="00B92632" w:rsidRDefault="00B92632" w:rsidP="000B0C83">
      <w:pPr>
        <w:pStyle w:val="Heading2"/>
        <w:numPr>
          <w:ilvl w:val="1"/>
          <w:numId w:val="14"/>
        </w:numPr>
      </w:pPr>
      <w:r w:rsidRPr="00C22F91">
        <w:t xml:space="preserve">Tenders delivered by hand must be received at the </w:t>
      </w:r>
      <w:r w:rsidR="002E7535">
        <w:t>library</w:t>
      </w:r>
      <w:r w:rsidR="002E7535" w:rsidRPr="00C22F91">
        <w:t xml:space="preserve"> </w:t>
      </w:r>
      <w:r w:rsidRPr="00C22F91">
        <w:t xml:space="preserve">desk at </w:t>
      </w:r>
      <w:proofErr w:type="spellStart"/>
      <w:r w:rsidR="002E7535">
        <w:t>Porthcressa</w:t>
      </w:r>
      <w:proofErr w:type="spellEnd"/>
      <w:r w:rsidR="002E7535">
        <w:t>, St Mary’s, Isles of Scilly, TR21 0HW</w:t>
      </w:r>
      <w:r w:rsidRPr="00C22F91">
        <w:t xml:space="preserve"> by </w:t>
      </w:r>
      <w:r w:rsidR="00863156">
        <w:rPr>
          <w:b/>
        </w:rPr>
        <w:t>16</w:t>
      </w:r>
      <w:r w:rsidR="008A6EE7">
        <w:rPr>
          <w:b/>
        </w:rPr>
        <w:t xml:space="preserve">:00 </w:t>
      </w:r>
      <w:r w:rsidR="00A260B1" w:rsidRPr="00DA1499">
        <w:rPr>
          <w:b/>
        </w:rPr>
        <w:t xml:space="preserve">GMT on </w:t>
      </w:r>
      <w:r w:rsidR="002414B8">
        <w:rPr>
          <w:b/>
        </w:rPr>
        <w:t>30</w:t>
      </w:r>
      <w:r w:rsidR="002414B8" w:rsidRPr="00811913">
        <w:rPr>
          <w:b/>
          <w:vertAlign w:val="superscript"/>
        </w:rPr>
        <w:t>th</w:t>
      </w:r>
      <w:r w:rsidR="002414B8">
        <w:rPr>
          <w:b/>
        </w:rPr>
        <w:t xml:space="preserve"> August </w:t>
      </w:r>
      <w:r w:rsidR="0074506A">
        <w:rPr>
          <w:b/>
        </w:rPr>
        <w:t>201</w:t>
      </w:r>
      <w:r w:rsidR="00863156">
        <w:rPr>
          <w:b/>
        </w:rPr>
        <w:t>8</w:t>
      </w:r>
      <w:r w:rsidRPr="00C22F91">
        <w:t xml:space="preserve"> (</w:t>
      </w:r>
      <w:r w:rsidRPr="00C22F91">
        <w:rPr>
          <w:b/>
        </w:rPr>
        <w:t>“the Deadline”)</w:t>
      </w:r>
      <w:r w:rsidRPr="00C22F91">
        <w:t xml:space="preserve">. </w:t>
      </w:r>
      <w:r w:rsidR="00A260B1">
        <w:t xml:space="preserve"> </w:t>
      </w:r>
      <w:r w:rsidRPr="00C22F91">
        <w:t xml:space="preserve">Envelopes and packages should not bear any reference to the Tenderer by name. </w:t>
      </w:r>
    </w:p>
    <w:p w14:paraId="276D9D61" w14:textId="77777777" w:rsidR="00B92632" w:rsidRPr="00C153B0" w:rsidRDefault="00B92632" w:rsidP="000B0C83">
      <w:pPr>
        <w:pStyle w:val="Heading2"/>
        <w:numPr>
          <w:ilvl w:val="1"/>
          <w:numId w:val="14"/>
        </w:numPr>
      </w:pPr>
      <w:r w:rsidRPr="00C22F91">
        <w:t>Tenders will be received any time up to the deadline stated above. Tenders received before this deadline will be retained in a secure environment, unopened until the opening date.</w:t>
      </w:r>
      <w:r w:rsidRPr="00C22F91">
        <w:rPr>
          <w:i/>
        </w:rPr>
        <w:t xml:space="preserve"> </w:t>
      </w:r>
    </w:p>
    <w:p w14:paraId="333B68EE" w14:textId="77777777" w:rsidR="00B92632" w:rsidRPr="00C22F91" w:rsidRDefault="00B92632" w:rsidP="000B0C83">
      <w:pPr>
        <w:pStyle w:val="Heading2"/>
        <w:numPr>
          <w:ilvl w:val="1"/>
          <w:numId w:val="14"/>
        </w:numPr>
      </w:pPr>
      <w:r w:rsidRPr="00C22F91">
        <w:t>The Authority does not accept responsibility for the premature opening or mishandling of Tenders that are not submitted in accordance with these instructions.</w:t>
      </w:r>
    </w:p>
    <w:p w14:paraId="0935525F" w14:textId="77777777" w:rsidR="00B92632" w:rsidRDefault="00B92632" w:rsidP="000B0C83">
      <w:pPr>
        <w:pStyle w:val="Heading2"/>
        <w:numPr>
          <w:ilvl w:val="1"/>
          <w:numId w:val="14"/>
        </w:numPr>
      </w:pPr>
      <w:r w:rsidRPr="008F3132">
        <w:t>Account will also be taken of any factors which may impact on the Tenderers suitability that emerge from the tendering process and relate to information previously provided by the Tenderer as part of the pre-qualification process. If the Tenderers circumstances have changed significantly from the position stated in the PQQ this may lead to the Tenderer no longer being able to participate further in the Tender process.</w:t>
      </w:r>
    </w:p>
    <w:p w14:paraId="5DA5CD2B" w14:textId="77777777" w:rsidR="00C22F91" w:rsidRPr="006B7CF2" w:rsidRDefault="00C22F91" w:rsidP="00074B5B">
      <w:pPr>
        <w:pStyle w:val="Heading8"/>
        <w:rPr>
          <w:color w:val="416CBB"/>
        </w:rPr>
      </w:pPr>
      <w:r w:rsidRPr="006B7CF2">
        <w:rPr>
          <w:color w:val="416CBB"/>
        </w:rPr>
        <w:t>Canvassing</w:t>
      </w:r>
    </w:p>
    <w:p w14:paraId="3CBCCF7A" w14:textId="77777777" w:rsidR="00C22F91" w:rsidRPr="00C22F91" w:rsidRDefault="00C22F91" w:rsidP="000B0C83">
      <w:pPr>
        <w:pStyle w:val="Heading2"/>
        <w:numPr>
          <w:ilvl w:val="1"/>
          <w:numId w:val="14"/>
        </w:numPr>
      </w:pPr>
      <w:r w:rsidRPr="00C22F91">
        <w:t xml:space="preserve">Any </w:t>
      </w:r>
      <w:r w:rsidR="001C776E" w:rsidRPr="00C22F91">
        <w:t xml:space="preserve">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employee or agent or concerning any other Tenderer, Tender or proposed Tender will be </w:t>
      </w:r>
      <w:r w:rsidRPr="00C22F91">
        <w:t>disqualified.</w:t>
      </w:r>
    </w:p>
    <w:p w14:paraId="32704187" w14:textId="77777777" w:rsidR="00C22F91" w:rsidRPr="006B7CF2" w:rsidRDefault="00C22F91" w:rsidP="00954471">
      <w:pPr>
        <w:pStyle w:val="Heading8"/>
        <w:rPr>
          <w:color w:val="416CBB"/>
        </w:rPr>
      </w:pPr>
      <w:r w:rsidRPr="006B7CF2">
        <w:rPr>
          <w:color w:val="416CBB"/>
        </w:rPr>
        <w:t>Disclaimers</w:t>
      </w:r>
    </w:p>
    <w:p w14:paraId="178EB974" w14:textId="77777777" w:rsidR="00C22F91" w:rsidRPr="00C22F91" w:rsidRDefault="00C22F91" w:rsidP="000B0C83">
      <w:pPr>
        <w:pStyle w:val="Heading2"/>
        <w:numPr>
          <w:ilvl w:val="1"/>
          <w:numId w:val="14"/>
        </w:numPr>
      </w:pPr>
      <w:r w:rsidRPr="00C22F91">
        <w:t xml:space="preserve">Whilst the information in this ITT, Due Diligence Information and supporting documents has been prepared in good faith, it does not purport to be comprehensive nor has it been independently verified. </w:t>
      </w:r>
    </w:p>
    <w:p w14:paraId="596D4FB6" w14:textId="77777777" w:rsidR="00C22F91" w:rsidRPr="00C22F91" w:rsidRDefault="00A260B1" w:rsidP="000B0C83">
      <w:pPr>
        <w:pStyle w:val="Heading2"/>
        <w:numPr>
          <w:ilvl w:val="1"/>
          <w:numId w:val="14"/>
        </w:numPr>
        <w:spacing w:after="240"/>
      </w:pPr>
      <w:bookmarkStart w:id="23" w:name="_Toc481479619"/>
      <w:bookmarkStart w:id="24" w:name="_Toc481482266"/>
      <w:r w:rsidRPr="00C22F91">
        <w:lastRenderedPageBreak/>
        <w:t>Neith</w:t>
      </w:r>
      <w:r>
        <w:t xml:space="preserve">er </w:t>
      </w:r>
      <w:r w:rsidRPr="00C22F91">
        <w:t>the Authority, nor any relevant OCBs nor their advisors, nor their respective directors, officers, members, pa</w:t>
      </w:r>
      <w:r>
        <w:t xml:space="preserve">rtners, employees, other staff </w:t>
      </w:r>
      <w:r w:rsidRPr="00C22F91">
        <w:t>or</w:t>
      </w:r>
      <w:r w:rsidR="001C776E" w:rsidRPr="00C22F91">
        <w:t xml:space="preserve"> </w:t>
      </w:r>
      <w:r w:rsidR="00C22F91" w:rsidRPr="00C22F91">
        <w:t>agents</w:t>
      </w:r>
      <w:bookmarkEnd w:id="23"/>
      <w:bookmarkEnd w:id="24"/>
      <w:r w:rsidR="00C22F91" w:rsidRPr="00C22F91">
        <w:t>:</w:t>
      </w:r>
    </w:p>
    <w:p w14:paraId="5197D846" w14:textId="77777777" w:rsidR="00C22F91" w:rsidRPr="00D20AE9" w:rsidRDefault="00C22F91" w:rsidP="000B0C83">
      <w:pPr>
        <w:pStyle w:val="Bullet"/>
        <w:numPr>
          <w:ilvl w:val="2"/>
          <w:numId w:val="14"/>
        </w:numPr>
        <w:tabs>
          <w:tab w:val="num" w:pos="1440"/>
        </w:tabs>
        <w:ind w:left="1440" w:hanging="720"/>
      </w:pPr>
      <w:r w:rsidRPr="00D20AE9">
        <w:t>makes any representation or warranty (express or implied) as to the accuracy, reasonableness or completeness of the ITT; or</w:t>
      </w:r>
    </w:p>
    <w:p w14:paraId="4950E97E" w14:textId="77777777" w:rsidR="00C22F91" w:rsidRPr="00D20AE9" w:rsidRDefault="00C22F91" w:rsidP="000B0C83">
      <w:pPr>
        <w:pStyle w:val="Bullet"/>
        <w:numPr>
          <w:ilvl w:val="2"/>
          <w:numId w:val="14"/>
        </w:numPr>
        <w:tabs>
          <w:tab w:val="num" w:pos="1440"/>
        </w:tabs>
        <w:ind w:left="1440" w:hanging="720"/>
      </w:pPr>
      <w:r w:rsidRPr="00D20AE9">
        <w:t>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w:t>
      </w:r>
      <w:r w:rsidR="003A28AB">
        <w:t>n.</w:t>
      </w:r>
    </w:p>
    <w:p w14:paraId="401A6E79" w14:textId="77777777" w:rsidR="00C22F91" w:rsidRPr="00C22F91" w:rsidRDefault="00C22F91" w:rsidP="000B0C83">
      <w:pPr>
        <w:pStyle w:val="Heading2"/>
        <w:numPr>
          <w:ilvl w:val="1"/>
          <w:numId w:val="14"/>
        </w:numPr>
      </w:pPr>
      <w:r w:rsidRPr="00C22F91">
        <w:t>Any persons considering making a decision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w:t>
      </w:r>
      <w:r w:rsidR="00401EFC">
        <w:t xml:space="preserve"> </w:t>
      </w:r>
      <w:r w:rsidRPr="00C22F91">
        <w:t>For the avoidance of doubt the provision of clarification or further information in relation to the ITT or any other associated documents (including the Schedules) is only authorised to be provided following a query made in accordance with paragraph 16 of this Invitation to Tender.</w:t>
      </w:r>
    </w:p>
    <w:p w14:paraId="510D00C8" w14:textId="77777777" w:rsidR="00C22F91" w:rsidRPr="00C22F91" w:rsidRDefault="00C22F91" w:rsidP="000B0C83">
      <w:pPr>
        <w:pStyle w:val="Heading2"/>
        <w:numPr>
          <w:ilvl w:val="1"/>
          <w:numId w:val="14"/>
        </w:numPr>
      </w:pPr>
      <w:r w:rsidRPr="00C22F91">
        <w:t>Any Agreement concluded as a result of this ITT shall be governed by English law.</w:t>
      </w:r>
    </w:p>
    <w:p w14:paraId="7AE3D6EA" w14:textId="77777777" w:rsidR="00C22F91" w:rsidRPr="006B7CF2" w:rsidRDefault="00C22F91" w:rsidP="00954471">
      <w:pPr>
        <w:pStyle w:val="Heading8"/>
        <w:rPr>
          <w:color w:val="416CBB"/>
        </w:rPr>
      </w:pPr>
      <w:r w:rsidRPr="006B7CF2">
        <w:rPr>
          <w:color w:val="416CBB"/>
        </w:rPr>
        <w:t>Collusive Behaviour</w:t>
      </w:r>
    </w:p>
    <w:p w14:paraId="11B8BC2E" w14:textId="77777777" w:rsidR="00090DAE" w:rsidRDefault="00C22F91" w:rsidP="000B0C83">
      <w:pPr>
        <w:pStyle w:val="Heading2"/>
        <w:numPr>
          <w:ilvl w:val="1"/>
          <w:numId w:val="14"/>
        </w:numPr>
      </w:pPr>
      <w:r w:rsidRPr="00C22F91">
        <w:t>Any Tenderer who:</w:t>
      </w:r>
    </w:p>
    <w:p w14:paraId="7717FD36" w14:textId="77777777" w:rsidR="00C22F91" w:rsidRPr="00C22F91" w:rsidRDefault="00C22F91" w:rsidP="000B0C83">
      <w:pPr>
        <w:pStyle w:val="Bullet"/>
        <w:numPr>
          <w:ilvl w:val="2"/>
          <w:numId w:val="14"/>
        </w:numPr>
        <w:tabs>
          <w:tab w:val="num" w:pos="1440"/>
        </w:tabs>
        <w:ind w:left="1440" w:hanging="720"/>
      </w:pPr>
      <w:r w:rsidRPr="00C22F91">
        <w:t>fixes or adjusts the amount of its Tender by or in accordance with any agreement or arrangement with any other party; or</w:t>
      </w:r>
    </w:p>
    <w:p w14:paraId="6E59EBE9" w14:textId="77777777" w:rsidR="00C22F91" w:rsidRPr="00C22F91" w:rsidRDefault="00C22F91" w:rsidP="000B0C83">
      <w:pPr>
        <w:pStyle w:val="Bullet"/>
        <w:numPr>
          <w:ilvl w:val="2"/>
          <w:numId w:val="14"/>
        </w:numPr>
        <w:tabs>
          <w:tab w:val="num" w:pos="1440"/>
        </w:tabs>
        <w:ind w:left="1440" w:hanging="720"/>
      </w:pPr>
      <w:r w:rsidRPr="00C22F91">
        <w:t xml:space="preserve">communicates to any party other than the Authority or,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 </w:t>
      </w:r>
    </w:p>
    <w:p w14:paraId="0ABC4E0C" w14:textId="77777777" w:rsidR="00C22F91" w:rsidRPr="00C22F91" w:rsidRDefault="00C22F91" w:rsidP="000B0C83">
      <w:pPr>
        <w:pStyle w:val="Bullet"/>
        <w:numPr>
          <w:ilvl w:val="2"/>
          <w:numId w:val="14"/>
        </w:numPr>
        <w:tabs>
          <w:tab w:val="num" w:pos="1440"/>
        </w:tabs>
        <w:ind w:left="1440" w:hanging="720"/>
      </w:pPr>
      <w:r w:rsidRPr="00C22F91">
        <w:t>enters into any agreement or arrangement with any other party that such other party shall refrain from submitting a Tender; or</w:t>
      </w:r>
    </w:p>
    <w:p w14:paraId="750AD455" w14:textId="77777777" w:rsidR="00090DAE" w:rsidRPr="00090DAE" w:rsidRDefault="00C22F91" w:rsidP="000B0C83">
      <w:pPr>
        <w:pStyle w:val="Bullet"/>
        <w:numPr>
          <w:ilvl w:val="2"/>
          <w:numId w:val="14"/>
        </w:numPr>
        <w:tabs>
          <w:tab w:val="num" w:pos="1440"/>
        </w:tabs>
        <w:ind w:left="1440" w:hanging="720"/>
      </w:pPr>
      <w:r w:rsidRPr="00C22F91">
        <w:t xml:space="preserve">enters into any agreement or arrangement with any other party as to the amount of any Tender submitted; or </w:t>
      </w:r>
    </w:p>
    <w:p w14:paraId="3B80C700" w14:textId="77777777" w:rsidR="00BA3E95" w:rsidRDefault="00C22F91" w:rsidP="000B0C83">
      <w:pPr>
        <w:pStyle w:val="Bullet"/>
        <w:numPr>
          <w:ilvl w:val="2"/>
          <w:numId w:val="14"/>
        </w:numPr>
        <w:tabs>
          <w:tab w:val="num" w:pos="1440"/>
        </w:tabs>
        <w:ind w:left="1440" w:hanging="720"/>
      </w:pPr>
      <w:r w:rsidRPr="00C22F91">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w:t>
      </w:r>
    </w:p>
    <w:p w14:paraId="565F2A3C" w14:textId="77777777" w:rsidR="0099525F" w:rsidRDefault="00C22F91" w:rsidP="00BA3E95">
      <w:pPr>
        <w:pStyle w:val="Bullet"/>
        <w:ind w:left="720"/>
      </w:pPr>
      <w:r w:rsidRPr="00C22F91">
        <w:t>shall (without prejudice to any other civil remedies available to the Authority and without prejudice to any criminal liability which such conduct by a Tenderer may attract) be disqualified.</w:t>
      </w:r>
    </w:p>
    <w:p w14:paraId="1BE41478" w14:textId="77777777" w:rsidR="00C22F91" w:rsidRPr="006B7CF2" w:rsidRDefault="00C22F91" w:rsidP="00954471">
      <w:pPr>
        <w:pStyle w:val="Heading8"/>
        <w:rPr>
          <w:color w:val="416CBB"/>
        </w:rPr>
      </w:pPr>
      <w:r w:rsidRPr="006B7CF2">
        <w:rPr>
          <w:color w:val="416CBB"/>
        </w:rPr>
        <w:lastRenderedPageBreak/>
        <w:t>No Inducement or Incentive</w:t>
      </w:r>
    </w:p>
    <w:p w14:paraId="17F1FCD0" w14:textId="77777777" w:rsidR="00FE2C18" w:rsidRDefault="00C22F91" w:rsidP="000B0C83">
      <w:pPr>
        <w:pStyle w:val="Heading2"/>
        <w:numPr>
          <w:ilvl w:val="1"/>
          <w:numId w:val="14"/>
        </w:numPr>
      </w:pPr>
      <w:r w:rsidRPr="00C22F91">
        <w:t>The ITT is issued on the basis that nothing contained in it shall constitute an inducement or incentive nor shall have in any other way persuaded a Tenderer to submit a Tender or enter into the Agreement or any other contractual agreement.</w:t>
      </w:r>
      <w:r w:rsidR="00FE2C18">
        <w:t xml:space="preserve"> </w:t>
      </w:r>
    </w:p>
    <w:p w14:paraId="397C7A66" w14:textId="77777777" w:rsidR="00FE2C18" w:rsidRPr="006B7CF2" w:rsidRDefault="00C22F91" w:rsidP="00FE2C18">
      <w:pPr>
        <w:pStyle w:val="Heading2"/>
        <w:rPr>
          <w:b/>
          <w:color w:val="416CBB"/>
        </w:rPr>
      </w:pPr>
      <w:r w:rsidRPr="006B7CF2">
        <w:rPr>
          <w:b/>
          <w:color w:val="416CBB"/>
        </w:rPr>
        <w:t>Acceptance and Admission to the Agreement</w:t>
      </w:r>
      <w:r w:rsidR="00FE2C18" w:rsidRPr="006B7CF2">
        <w:rPr>
          <w:b/>
          <w:color w:val="416CBB"/>
        </w:rPr>
        <w:t xml:space="preserve"> </w:t>
      </w:r>
    </w:p>
    <w:p w14:paraId="777075CA" w14:textId="77777777" w:rsidR="00C22F91" w:rsidRPr="00A445F1" w:rsidRDefault="00C22F91" w:rsidP="000B0C83">
      <w:pPr>
        <w:pStyle w:val="Heading2"/>
        <w:numPr>
          <w:ilvl w:val="1"/>
          <w:numId w:val="14"/>
        </w:numPr>
      </w:pPr>
      <w:r w:rsidRPr="00C22F91">
        <w:t>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w:t>
      </w:r>
      <w:r w:rsidR="001C776E">
        <w:t>n the form set out in Section F</w:t>
      </w:r>
      <w:r w:rsidRPr="00C22F91">
        <w:t xml:space="preserve"> or in such amended form as may subsequently be agreed.</w:t>
      </w:r>
    </w:p>
    <w:p w14:paraId="3063C550" w14:textId="77777777" w:rsidR="00C22F91" w:rsidRPr="00C22F91" w:rsidRDefault="00C22F91" w:rsidP="000B0C83">
      <w:pPr>
        <w:pStyle w:val="Heading2"/>
        <w:numPr>
          <w:ilvl w:val="1"/>
          <w:numId w:val="14"/>
        </w:numPr>
      </w:pPr>
      <w:r w:rsidRPr="00C22F91">
        <w:t>The Authority shall be under no obligation to accept the lowest or any Tender.</w:t>
      </w:r>
      <w:bookmarkStart w:id="25" w:name="_Toc159578287"/>
    </w:p>
    <w:p w14:paraId="7E955C82" w14:textId="77777777" w:rsidR="00C22F91" w:rsidRPr="006B7CF2" w:rsidRDefault="00C22F91" w:rsidP="00954471">
      <w:pPr>
        <w:pStyle w:val="Heading8"/>
        <w:rPr>
          <w:color w:val="416CBB"/>
        </w:rPr>
      </w:pPr>
      <w:r w:rsidRPr="006B7CF2">
        <w:rPr>
          <w:color w:val="416CBB"/>
        </w:rPr>
        <w:t>Queries Relating to Tender</w:t>
      </w:r>
    </w:p>
    <w:bookmarkEnd w:id="25"/>
    <w:p w14:paraId="430AEE3F" w14:textId="77777777" w:rsidR="00C22F91" w:rsidRPr="00C22F91" w:rsidRDefault="00C22F91" w:rsidP="000B0C83">
      <w:pPr>
        <w:pStyle w:val="Heading2"/>
        <w:numPr>
          <w:ilvl w:val="1"/>
          <w:numId w:val="14"/>
        </w:numPr>
      </w:pPr>
      <w:r w:rsidRPr="00C22F91">
        <w:t>All requests for clarification about the requirements or the process of this procurement exercise shall</w:t>
      </w:r>
      <w:r w:rsidR="001C776E">
        <w:t xml:space="preserve"> be made in accordance with paragraph</w:t>
      </w:r>
      <w:r w:rsidR="00CC06B4">
        <w:t>s</w:t>
      </w:r>
      <w:r w:rsidR="001C776E">
        <w:t xml:space="preserve"> </w:t>
      </w:r>
      <w:r w:rsidR="00CC06B4">
        <w:t>C.56</w:t>
      </w:r>
      <w:r w:rsidRPr="00C22F91">
        <w:t xml:space="preserve"> of these Instructions.</w:t>
      </w:r>
    </w:p>
    <w:p w14:paraId="1562CD04" w14:textId="77777777" w:rsidR="00863156" w:rsidRPr="00863156" w:rsidRDefault="00C22F91" w:rsidP="000B0C83">
      <w:pPr>
        <w:pStyle w:val="Heading2"/>
        <w:numPr>
          <w:ilvl w:val="1"/>
          <w:numId w:val="14"/>
        </w:numPr>
        <w:rPr>
          <w:b/>
        </w:rPr>
      </w:pPr>
      <w:r w:rsidRPr="00C22F91">
        <w:t xml:space="preserve">The Authority will endeavour to answer all questions as quickly as possible, but cannot guarantee a minimum response time. </w:t>
      </w:r>
    </w:p>
    <w:p w14:paraId="0A5FDC09" w14:textId="4153E135" w:rsidR="00C22F91" w:rsidRPr="00863156" w:rsidRDefault="00C22F91" w:rsidP="000B0C83">
      <w:pPr>
        <w:pStyle w:val="Heading2"/>
        <w:numPr>
          <w:ilvl w:val="1"/>
          <w:numId w:val="14"/>
        </w:numPr>
        <w:rPr>
          <w:b/>
        </w:rPr>
      </w:pPr>
      <w:r w:rsidRPr="00C22F91">
        <w:t>Clarification requests can be submitted via e-mail t</w:t>
      </w:r>
      <w:r w:rsidR="001102F6">
        <w:t xml:space="preserve">o </w:t>
      </w:r>
      <w:r w:rsidR="00863156">
        <w:rPr>
          <w:color w:val="0000FF"/>
          <w:u w:val="single"/>
        </w:rPr>
        <w:t>Goods1@scilly.gov.uk</w:t>
      </w:r>
      <w:r w:rsidR="008A6EE7">
        <w:t xml:space="preserve"> </w:t>
      </w:r>
      <w:r w:rsidRPr="00C22F91">
        <w:t xml:space="preserve">from </w:t>
      </w:r>
      <w:r w:rsidR="002414B8">
        <w:rPr>
          <w:b/>
        </w:rPr>
        <w:t>26</w:t>
      </w:r>
      <w:r w:rsidR="00811913">
        <w:rPr>
          <w:b/>
        </w:rPr>
        <w:t>/07/2018</w:t>
      </w:r>
      <w:r w:rsidRPr="00863156">
        <w:rPr>
          <w:b/>
        </w:rPr>
        <w:t>.</w:t>
      </w:r>
    </w:p>
    <w:p w14:paraId="1A8906FC" w14:textId="77777777" w:rsidR="00C22F91" w:rsidRPr="00A01A9C" w:rsidRDefault="00C22F91" w:rsidP="000B0C83">
      <w:pPr>
        <w:pStyle w:val="Heading2"/>
        <w:numPr>
          <w:ilvl w:val="1"/>
          <w:numId w:val="14"/>
        </w:numPr>
        <w:rPr>
          <w:b/>
        </w:rPr>
      </w:pPr>
      <w:r w:rsidRPr="00C22F91">
        <w:t>No further requests for clarifications wi</w:t>
      </w:r>
      <w:r w:rsidR="001C776E">
        <w:t xml:space="preserve">ll be accepted after </w:t>
      </w:r>
      <w:r w:rsidR="00811913">
        <w:rPr>
          <w:b/>
        </w:rPr>
        <w:t>13/08</w:t>
      </w:r>
      <w:r w:rsidR="00863156" w:rsidRPr="00863156">
        <w:rPr>
          <w:b/>
        </w:rPr>
        <w:t>/18</w:t>
      </w:r>
      <w:r w:rsidR="001C776E" w:rsidRPr="00A01A9C">
        <w:rPr>
          <w:b/>
        </w:rPr>
        <w:t>.</w:t>
      </w:r>
    </w:p>
    <w:p w14:paraId="15DDB07D" w14:textId="77777777" w:rsidR="00C22F91" w:rsidRPr="00C22F91" w:rsidRDefault="00C22F91" w:rsidP="000B0C83">
      <w:pPr>
        <w:pStyle w:val="Heading2"/>
        <w:numPr>
          <w:ilvl w:val="1"/>
          <w:numId w:val="14"/>
        </w:numPr>
      </w:pPr>
      <w:r w:rsidRPr="00C22F91">
        <w:t>In order to ensure equality of treatment of Tenderers, the Authority intends to publish the questions and clarifications raised by Tenderers together with the Authority’s responses (but not the source of the questions) to all participants on a regular basis.</w:t>
      </w:r>
    </w:p>
    <w:p w14:paraId="74C87510" w14:textId="77777777" w:rsidR="00C22F91" w:rsidRPr="00C22F91" w:rsidRDefault="00C22F91" w:rsidP="000B0C83">
      <w:pPr>
        <w:pStyle w:val="Heading2"/>
        <w:numPr>
          <w:ilvl w:val="1"/>
          <w:numId w:val="14"/>
        </w:numPr>
      </w:pPr>
      <w:r w:rsidRPr="00C22F91">
        <w:t>Tenderers should indicate if a query is of a commercially sensitive nature – where disclosure of such query and the answer would or would be likely to prejudice its commercial interests.</w:t>
      </w:r>
      <w:r w:rsidR="00401EFC">
        <w:t xml:space="preserve"> </w:t>
      </w:r>
      <w:r w:rsidRPr="00C22F91">
        <w:t>However, if the Authority at its sole discretion does not either; consider the query to be of a commercially confidential nature or one which all Tenderers would potentially benefit from seeing both the query and Authority’s response, the Authority will:</w:t>
      </w:r>
    </w:p>
    <w:p w14:paraId="493FD5DB" w14:textId="77777777" w:rsidR="00C22F91" w:rsidRPr="00C22F91" w:rsidRDefault="00C22F91" w:rsidP="000B0C83">
      <w:pPr>
        <w:pStyle w:val="Bullet"/>
        <w:numPr>
          <w:ilvl w:val="2"/>
          <w:numId w:val="14"/>
        </w:numPr>
        <w:tabs>
          <w:tab w:val="num" w:pos="1440"/>
        </w:tabs>
        <w:ind w:left="1440" w:hanging="720"/>
      </w:pPr>
      <w:r w:rsidRPr="00C22F91">
        <w:t xml:space="preserve">invite the Tenderer submitting the query to either declassify the query and allow the query along with the Authority’s response to be circulated to all Tenderers; or </w:t>
      </w:r>
    </w:p>
    <w:p w14:paraId="30FC13E4" w14:textId="77777777" w:rsidR="00C22F91" w:rsidRPr="00C22F91" w:rsidRDefault="00C22F91" w:rsidP="000B0C83">
      <w:pPr>
        <w:pStyle w:val="Bullet"/>
        <w:numPr>
          <w:ilvl w:val="2"/>
          <w:numId w:val="14"/>
        </w:numPr>
        <w:tabs>
          <w:tab w:val="num" w:pos="1440"/>
        </w:tabs>
        <w:ind w:left="1440" w:hanging="720"/>
      </w:pPr>
      <w:r w:rsidRPr="00C22F91">
        <w:t>request the Tenderer, if it still considers the query to be of a commercially confidential nature, to withdraw the query.</w:t>
      </w:r>
    </w:p>
    <w:p w14:paraId="5193E9CB" w14:textId="77777777" w:rsidR="00C22F91" w:rsidRPr="00C22F91" w:rsidRDefault="00C22F91" w:rsidP="000B0C83">
      <w:pPr>
        <w:pStyle w:val="Heading2"/>
        <w:numPr>
          <w:ilvl w:val="1"/>
          <w:numId w:val="14"/>
        </w:numPr>
      </w:pPr>
      <w:r w:rsidRPr="00C22F91">
        <w:t>The Authority reserves the right not to respond to a request for clarification or to circulate such a request where it considers that the answer to that request would or would be likely to prejudi</w:t>
      </w:r>
      <w:r w:rsidR="00A445F1">
        <w:t>ce its commercial interests.</w:t>
      </w:r>
    </w:p>
    <w:p w14:paraId="327CF407" w14:textId="77777777" w:rsidR="00A445F1" w:rsidRPr="006B7CF2" w:rsidRDefault="00C22F91" w:rsidP="00954471">
      <w:pPr>
        <w:pStyle w:val="Heading8"/>
        <w:rPr>
          <w:color w:val="416CBB"/>
        </w:rPr>
      </w:pPr>
      <w:bookmarkStart w:id="26" w:name="_Toc159578288"/>
      <w:r w:rsidRPr="006B7CF2">
        <w:rPr>
          <w:color w:val="416CBB"/>
        </w:rPr>
        <w:lastRenderedPageBreak/>
        <w:t>Amendments to Tender Documents</w:t>
      </w:r>
      <w:bookmarkEnd w:id="26"/>
    </w:p>
    <w:p w14:paraId="7EAA7DDE" w14:textId="77777777" w:rsidR="00C22F91" w:rsidRPr="00C22F91" w:rsidRDefault="00C22F91" w:rsidP="000B0C83">
      <w:pPr>
        <w:pStyle w:val="Heading2"/>
        <w:numPr>
          <w:ilvl w:val="1"/>
          <w:numId w:val="14"/>
        </w:numPr>
      </w:pPr>
      <w:r w:rsidRPr="00C22F91">
        <w:t>At any time prior to the deadline for the receipt of Tenders, the Authority may modify the ITT by amendment. Any such amendment will be numbered and dated and issued by the Authority to all prospective</w:t>
      </w:r>
      <w:r w:rsidR="001C776E">
        <w:t xml:space="preserve"> Tenderers by </w:t>
      </w:r>
      <w:r w:rsidR="00811913">
        <w:rPr>
          <w:b/>
        </w:rPr>
        <w:t>13</w:t>
      </w:r>
      <w:r w:rsidR="008A0700">
        <w:rPr>
          <w:b/>
        </w:rPr>
        <w:t>/</w:t>
      </w:r>
      <w:r w:rsidR="0074506A">
        <w:rPr>
          <w:b/>
        </w:rPr>
        <w:t>0</w:t>
      </w:r>
      <w:r w:rsidR="00811913">
        <w:rPr>
          <w:b/>
        </w:rPr>
        <w:t>8</w:t>
      </w:r>
      <w:r w:rsidR="007A7C03" w:rsidRPr="007A7C03">
        <w:rPr>
          <w:b/>
        </w:rPr>
        <w:t>/1</w:t>
      </w:r>
      <w:r w:rsidR="00863156">
        <w:rPr>
          <w:b/>
        </w:rPr>
        <w:t>8</w:t>
      </w:r>
      <w:r w:rsidRPr="00C22F91">
        <w:t>. In order to give prospective Tenderers reasonable time in which to take the amendment into account in preparing their Tenders, the Authority may, at its discretion, extend the Deadline for receipt of Tenders.</w:t>
      </w:r>
    </w:p>
    <w:p w14:paraId="6DAB98DE" w14:textId="77777777" w:rsidR="00C22F91" w:rsidRPr="006B7CF2" w:rsidRDefault="00C22F91" w:rsidP="00954471">
      <w:pPr>
        <w:pStyle w:val="Heading8"/>
        <w:rPr>
          <w:color w:val="416CBB"/>
        </w:rPr>
      </w:pPr>
      <w:r w:rsidRPr="006B7CF2">
        <w:rPr>
          <w:color w:val="416CBB"/>
        </w:rPr>
        <w:t>Late Tenders</w:t>
      </w:r>
    </w:p>
    <w:p w14:paraId="6B147A27" w14:textId="6673C3C4" w:rsidR="00C22F91" w:rsidRPr="00C22F91" w:rsidRDefault="00C22F91" w:rsidP="000B0C83">
      <w:pPr>
        <w:pStyle w:val="Heading2"/>
        <w:numPr>
          <w:ilvl w:val="1"/>
          <w:numId w:val="14"/>
        </w:numPr>
      </w:pPr>
      <w:r w:rsidRPr="00C22F91">
        <w:t>Any Tender received a</w:t>
      </w:r>
      <w:r w:rsidR="007A7C03">
        <w:t>fter</w:t>
      </w:r>
      <w:r w:rsidRPr="00C22F91">
        <w:t xml:space="preserve"> the designated point after </w:t>
      </w:r>
      <w:r w:rsidR="007A7C03">
        <w:rPr>
          <w:b/>
        </w:rPr>
        <w:t>1</w:t>
      </w:r>
      <w:r w:rsidR="00863156">
        <w:rPr>
          <w:b/>
        </w:rPr>
        <w:t>6</w:t>
      </w:r>
      <w:r w:rsidR="007A7C03">
        <w:rPr>
          <w:b/>
        </w:rPr>
        <w:t xml:space="preserve">:00 </w:t>
      </w:r>
      <w:r w:rsidR="00BA3E95" w:rsidRPr="00A01A9C">
        <w:rPr>
          <w:b/>
        </w:rPr>
        <w:t xml:space="preserve">GMT on </w:t>
      </w:r>
      <w:r w:rsidR="002414B8">
        <w:rPr>
          <w:b/>
        </w:rPr>
        <w:t>30</w:t>
      </w:r>
      <w:r w:rsidR="002414B8" w:rsidRPr="00887C35">
        <w:rPr>
          <w:b/>
          <w:vertAlign w:val="superscript"/>
        </w:rPr>
        <w:t>th</w:t>
      </w:r>
      <w:r w:rsidR="002414B8">
        <w:rPr>
          <w:b/>
        </w:rPr>
        <w:t xml:space="preserve"> August</w:t>
      </w:r>
      <w:r w:rsidR="00EB15BE">
        <w:rPr>
          <w:b/>
        </w:rPr>
        <w:t xml:space="preserve"> </w:t>
      </w:r>
      <w:r w:rsidR="007612DE" w:rsidRPr="00A01A9C">
        <w:rPr>
          <w:b/>
        </w:rPr>
        <w:t>201</w:t>
      </w:r>
      <w:r w:rsidR="00811913">
        <w:rPr>
          <w:b/>
        </w:rPr>
        <w:t>8</w:t>
      </w:r>
      <w:r w:rsidR="00BA3E95">
        <w:t xml:space="preserve"> </w:t>
      </w:r>
      <w:r w:rsidRPr="00C22F91">
        <w:t>may be rejected unless the Tenderer can provide irrefutable evidence that the Tender was capable of being received by the due date and time.</w:t>
      </w:r>
      <w:r w:rsidR="007A7C03">
        <w:t xml:space="preserve"> </w:t>
      </w:r>
    </w:p>
    <w:p w14:paraId="0B9F0D9A" w14:textId="77777777" w:rsidR="00C22F91" w:rsidRPr="006B7CF2" w:rsidRDefault="00C22F91" w:rsidP="00954471">
      <w:pPr>
        <w:pStyle w:val="Heading8"/>
        <w:rPr>
          <w:color w:val="416CBB"/>
        </w:rPr>
      </w:pPr>
      <w:r w:rsidRPr="006B7CF2">
        <w:rPr>
          <w:color w:val="416CBB"/>
        </w:rPr>
        <w:t>Proposed Amendments to the Agreement by the Tenderer</w:t>
      </w:r>
    </w:p>
    <w:p w14:paraId="6FD981EB" w14:textId="77777777" w:rsidR="00C22F91" w:rsidRPr="00C22F91" w:rsidRDefault="00C22F91" w:rsidP="000B0C83">
      <w:pPr>
        <w:pStyle w:val="Heading2"/>
        <w:numPr>
          <w:ilvl w:val="1"/>
          <w:numId w:val="14"/>
        </w:numPr>
      </w:pPr>
      <w:r w:rsidRPr="00C22F91">
        <w:t xml:space="preserve">As the Authority is using the </w:t>
      </w:r>
      <w:r w:rsidR="007A7C03">
        <w:t xml:space="preserve">open </w:t>
      </w:r>
      <w:r w:rsidRPr="00C22F91">
        <w:t>procedure as detailed in the P</w:t>
      </w:r>
      <w:r w:rsidR="00691C63">
        <w:t>ublic Contracts Regulations 2015</w:t>
      </w:r>
      <w:r w:rsidRPr="00C22F91">
        <w:t xml:space="preserve"> it is prevente</w:t>
      </w:r>
      <w:r w:rsidR="00EB15BE">
        <w:t>d from undertaking negotiation.</w:t>
      </w:r>
    </w:p>
    <w:p w14:paraId="0659FE53" w14:textId="77777777" w:rsidR="00C22F91" w:rsidRPr="00C22F91" w:rsidRDefault="00C22F91" w:rsidP="000B0C83">
      <w:pPr>
        <w:pStyle w:val="Heading2"/>
        <w:numPr>
          <w:ilvl w:val="1"/>
          <w:numId w:val="14"/>
        </w:numPr>
      </w:pPr>
      <w:r w:rsidRPr="00C22F91">
        <w:t xml:space="preserve">The Authority will consider proposed </w:t>
      </w:r>
      <w:r w:rsidR="00691C63">
        <w:t xml:space="preserve">through the clarification process only and clarifications of this nature will be shared with all tenderers to ensure equal treatment and fairness to all bidders. </w:t>
      </w:r>
    </w:p>
    <w:p w14:paraId="457E63A2" w14:textId="77777777" w:rsidR="00C22F91" w:rsidRPr="00C22F91" w:rsidRDefault="00691C63" w:rsidP="000B0C83">
      <w:pPr>
        <w:pStyle w:val="Heading2"/>
        <w:numPr>
          <w:ilvl w:val="1"/>
          <w:numId w:val="14"/>
        </w:numPr>
      </w:pPr>
      <w:r>
        <w:t>A</w:t>
      </w:r>
      <w:r w:rsidRPr="00C22F91">
        <w:t xml:space="preserve">mendments </w:t>
      </w:r>
      <w:r>
        <w:t xml:space="preserve">will be considered </w:t>
      </w:r>
      <w:r w:rsidRPr="00C22F91">
        <w:t xml:space="preserve">strictly on their merits and within the limits imposed by the </w:t>
      </w:r>
      <w:r>
        <w:t>procurement law</w:t>
      </w:r>
      <w:r w:rsidRPr="00C22F91">
        <w:t>.</w:t>
      </w:r>
      <w:r w:rsidR="00C22F91" w:rsidRPr="00C22F91">
        <w:t>.</w:t>
      </w:r>
    </w:p>
    <w:p w14:paraId="1CC12182" w14:textId="77777777" w:rsidR="00C22F91" w:rsidRPr="00C22F91" w:rsidRDefault="00691C63" w:rsidP="000B0C83">
      <w:pPr>
        <w:pStyle w:val="Heading2"/>
        <w:numPr>
          <w:ilvl w:val="1"/>
          <w:numId w:val="14"/>
        </w:numPr>
      </w:pPr>
      <w:r>
        <w:t>Where a tenderer considers their amendment as confidential these will have to be considered by the Authority and may be rejected on the basis that the confidentiality would disproportionately favour the tenderer submitting the clarification. Where the Authority considers a confidential change to the agreement unacceptable for this reason it will give the tenderer to either remove the clarification request or permit the Authority to share this clarification more broadly with other tenderers.</w:t>
      </w:r>
    </w:p>
    <w:p w14:paraId="382F4208" w14:textId="77777777" w:rsidR="00A445F1" w:rsidRPr="006B7CF2" w:rsidRDefault="00C22F91" w:rsidP="00954471">
      <w:pPr>
        <w:pStyle w:val="Heading8"/>
        <w:rPr>
          <w:color w:val="416CBB"/>
        </w:rPr>
      </w:pPr>
      <w:bookmarkStart w:id="27" w:name="_Toc159578290"/>
      <w:r w:rsidRPr="006B7CF2">
        <w:rPr>
          <w:color w:val="416CBB"/>
        </w:rPr>
        <w:t>Modification and Withdrawal</w:t>
      </w:r>
      <w:bookmarkEnd w:id="27"/>
    </w:p>
    <w:p w14:paraId="08050387" w14:textId="77777777" w:rsidR="00C22F91" w:rsidRPr="00C22F91" w:rsidRDefault="00C22F91" w:rsidP="000B0C83">
      <w:pPr>
        <w:pStyle w:val="Heading2"/>
        <w:numPr>
          <w:ilvl w:val="1"/>
          <w:numId w:val="14"/>
        </w:numPr>
      </w:pPr>
      <w:r w:rsidRPr="00C22F91">
        <w:t>Tenderers may modify their Tender prior to the Deadline by giving notice to the Authority in writing or via electronic submission to</w:t>
      </w:r>
      <w:r w:rsidR="00A01A9C">
        <w:t xml:space="preserve"> Sean P</w:t>
      </w:r>
      <w:r w:rsidR="007612DE">
        <w:t xml:space="preserve">arsons, </w:t>
      </w:r>
      <w:r w:rsidR="00D934C9">
        <w:t>Senior Officer: Capital Development and Procurement</w:t>
      </w:r>
      <w:r w:rsidRPr="00C22F91">
        <w:t>, Council of the Isles of</w:t>
      </w:r>
      <w:r w:rsidR="00CC7A29">
        <w:t xml:space="preserve"> Scilly, Town Hall, St Mary’s, I</w:t>
      </w:r>
      <w:r w:rsidRPr="00C22F91">
        <w:t xml:space="preserve">sles of Scilly, TR21 0LW or e-mail </w:t>
      </w:r>
      <w:hyperlink r:id="rId16" w:history="1">
        <w:r w:rsidR="00691C63" w:rsidRPr="00A51B66">
          <w:rPr>
            <w:rStyle w:val="Hyperlink"/>
          </w:rPr>
          <w:t>Goods1@scilly.gov.uk</w:t>
        </w:r>
      </w:hyperlink>
      <w:r w:rsidR="00691C63">
        <w:t xml:space="preserve"> </w:t>
      </w:r>
      <w:r w:rsidR="00A01A9C">
        <w:t>.</w:t>
      </w:r>
      <w:r w:rsidRPr="00C22F91">
        <w:t>No Tender may be modified subsequent to the Deadline for receipt.</w:t>
      </w:r>
    </w:p>
    <w:p w14:paraId="4365049F" w14:textId="77777777" w:rsidR="00C22F91" w:rsidRPr="00C22F91" w:rsidRDefault="00C22F91" w:rsidP="000B0C83">
      <w:pPr>
        <w:pStyle w:val="Heading2"/>
        <w:numPr>
          <w:ilvl w:val="1"/>
          <w:numId w:val="14"/>
        </w:numPr>
      </w:pPr>
      <w:r w:rsidRPr="00C22F91">
        <w:t xml:space="preserve">The modification notice must state clearly how the Authority should implement the modification and must be submitted in accordance with the provisions of paragraph </w:t>
      </w:r>
      <w:r w:rsidR="00870EF6">
        <w:t>C35</w:t>
      </w:r>
      <w:r w:rsidRPr="00C22F91">
        <w:t>.</w:t>
      </w:r>
      <w:r w:rsidR="00401EFC">
        <w:t xml:space="preserve"> </w:t>
      </w:r>
    </w:p>
    <w:p w14:paraId="156F128B" w14:textId="77777777" w:rsidR="00C22F91" w:rsidRPr="00C22F91" w:rsidRDefault="00C22F91" w:rsidP="000B0C83">
      <w:pPr>
        <w:pStyle w:val="Heading2"/>
        <w:numPr>
          <w:ilvl w:val="1"/>
          <w:numId w:val="14"/>
        </w:numPr>
      </w:pPr>
      <w:r w:rsidRPr="00C22F91">
        <w:t>Tenderers may withdraw their Tender at any time prior to the Deadline or any other time prior to accepting the offer of a contract.</w:t>
      </w:r>
      <w:r w:rsidR="00401EFC">
        <w:t xml:space="preserve"> </w:t>
      </w:r>
      <w:r w:rsidRPr="00C22F91">
        <w:t xml:space="preserve">The notice to withdraw the Tender must be in writing and sent to the Authority by recorded delivery or equivalent service and delivered to the Authority at the address set out in paragraph </w:t>
      </w:r>
      <w:r w:rsidR="00870EF6">
        <w:t>C1.</w:t>
      </w:r>
    </w:p>
    <w:p w14:paraId="61271C9C" w14:textId="77777777" w:rsidR="00C22F91" w:rsidRPr="006B7CF2" w:rsidRDefault="00C22F91" w:rsidP="00954471">
      <w:pPr>
        <w:pStyle w:val="Heading8"/>
        <w:rPr>
          <w:color w:val="416CBB"/>
        </w:rPr>
      </w:pPr>
      <w:r w:rsidRPr="006B7CF2">
        <w:rPr>
          <w:color w:val="416CBB"/>
        </w:rPr>
        <w:lastRenderedPageBreak/>
        <w:t>Right to Reject/Disqualify</w:t>
      </w:r>
    </w:p>
    <w:p w14:paraId="34817CC4" w14:textId="77777777" w:rsidR="00C22F91" w:rsidRPr="00C22F91" w:rsidRDefault="00C22F91" w:rsidP="000B0C83">
      <w:pPr>
        <w:pStyle w:val="Heading2"/>
        <w:numPr>
          <w:ilvl w:val="1"/>
          <w:numId w:val="14"/>
        </w:numPr>
      </w:pPr>
      <w:r w:rsidRPr="00C22F91">
        <w:t>The Authority reserves the right to reject or disqualify a Tenderer where:</w:t>
      </w:r>
    </w:p>
    <w:p w14:paraId="669C3ADA" w14:textId="77777777" w:rsidR="00C22F91" w:rsidRPr="00C22F91" w:rsidRDefault="00C22F91" w:rsidP="000B0C83">
      <w:pPr>
        <w:pStyle w:val="Bullet"/>
        <w:numPr>
          <w:ilvl w:val="2"/>
          <w:numId w:val="14"/>
        </w:numPr>
        <w:tabs>
          <w:tab w:val="num" w:pos="1440"/>
        </w:tabs>
        <w:ind w:left="1440" w:hanging="720"/>
      </w:pPr>
      <w:r w:rsidRPr="00C22F91">
        <w:t>the Tenderer fails to comply fully with the requirements of this Invitation to Tender or is guilty of a serious misrepresentation in supplying any information required in this document;</w:t>
      </w:r>
      <w:r w:rsidR="005653BC">
        <w:t xml:space="preserve"> or expression of interest; or Standard Selection Questionnaire</w:t>
      </w:r>
      <w:r w:rsidRPr="00C22F91">
        <w:t>; and/or</w:t>
      </w:r>
    </w:p>
    <w:p w14:paraId="128A9A42" w14:textId="77777777" w:rsidR="00C22F91" w:rsidRPr="00C22F91" w:rsidRDefault="00C22F91" w:rsidP="000B0C83">
      <w:pPr>
        <w:pStyle w:val="Bullet"/>
        <w:numPr>
          <w:ilvl w:val="2"/>
          <w:numId w:val="14"/>
        </w:numPr>
        <w:tabs>
          <w:tab w:val="num" w:pos="1440"/>
        </w:tabs>
        <w:ind w:left="1440" w:hanging="720"/>
      </w:pPr>
      <w:r w:rsidRPr="00C22F91">
        <w:t>the Tenderer is guilty of serious misrepresentation in relation to its Tender; expression of interest; the PQQ and/or the Tender process; and/or</w:t>
      </w:r>
    </w:p>
    <w:p w14:paraId="6A4CA061" w14:textId="77777777" w:rsidR="000F22F1" w:rsidRDefault="00C22F91" w:rsidP="000B0C83">
      <w:pPr>
        <w:pStyle w:val="Bullet"/>
        <w:numPr>
          <w:ilvl w:val="2"/>
          <w:numId w:val="14"/>
        </w:numPr>
        <w:tabs>
          <w:tab w:val="num" w:pos="1440"/>
        </w:tabs>
        <w:ind w:left="1440" w:hanging="720"/>
      </w:pPr>
      <w:r w:rsidRPr="00C22F91">
        <w:t>there is a change in identity, control, financial standing or other factor impacting on the selection and/or evaluation process affecting the Tenderer.</w:t>
      </w:r>
    </w:p>
    <w:p w14:paraId="18B1913E" w14:textId="77777777" w:rsidR="000F22F1" w:rsidRPr="006B7CF2" w:rsidRDefault="00C22F91" w:rsidP="00954471">
      <w:pPr>
        <w:pStyle w:val="Heading8"/>
        <w:rPr>
          <w:color w:val="416CBB"/>
        </w:rPr>
      </w:pPr>
      <w:r w:rsidRPr="006B7CF2">
        <w:rPr>
          <w:color w:val="416CBB"/>
        </w:rPr>
        <w:t>Right to Cancel, Clarify or Vary the Process</w:t>
      </w:r>
    </w:p>
    <w:p w14:paraId="6F1DAF7E" w14:textId="77777777" w:rsidR="00C22F91" w:rsidRPr="00C22F91" w:rsidRDefault="00C22F91" w:rsidP="000B0C83">
      <w:pPr>
        <w:pStyle w:val="Heading2"/>
        <w:numPr>
          <w:ilvl w:val="1"/>
          <w:numId w:val="14"/>
        </w:numPr>
        <w:spacing w:after="240"/>
      </w:pPr>
      <w:r w:rsidRPr="00C22F91">
        <w:t>The Authority reserves the right to:</w:t>
      </w:r>
    </w:p>
    <w:p w14:paraId="60E268E9" w14:textId="77777777" w:rsidR="00C22F91" w:rsidRPr="00C22F91" w:rsidRDefault="00C22F91" w:rsidP="000B0C83">
      <w:pPr>
        <w:pStyle w:val="Bullet"/>
        <w:numPr>
          <w:ilvl w:val="2"/>
          <w:numId w:val="14"/>
        </w:numPr>
        <w:tabs>
          <w:tab w:val="num" w:pos="1440"/>
        </w:tabs>
        <w:ind w:left="1440" w:hanging="720"/>
      </w:pPr>
      <w:r w:rsidRPr="00C22F91">
        <w:t>amend the terms and conditions of the Invitation to Tender process,</w:t>
      </w:r>
    </w:p>
    <w:p w14:paraId="68DFA176" w14:textId="77777777" w:rsidR="00C22F91" w:rsidRPr="00C22F91" w:rsidRDefault="00C22F91" w:rsidP="000B0C83">
      <w:pPr>
        <w:pStyle w:val="Bullet"/>
        <w:numPr>
          <w:ilvl w:val="2"/>
          <w:numId w:val="14"/>
        </w:numPr>
        <w:tabs>
          <w:tab w:val="num" w:pos="1440"/>
        </w:tabs>
        <w:ind w:left="1440" w:hanging="720"/>
      </w:pPr>
      <w:r w:rsidRPr="00C22F91">
        <w:t>cancel the evaluation process at any stage; and/or</w:t>
      </w:r>
      <w:bookmarkStart w:id="28" w:name="_Toc481479598"/>
      <w:bookmarkStart w:id="29" w:name="_Toc481482245"/>
    </w:p>
    <w:p w14:paraId="66421E81" w14:textId="77777777" w:rsidR="00C22F91" w:rsidRPr="00C22F91" w:rsidRDefault="00C22F91" w:rsidP="000B0C83">
      <w:pPr>
        <w:pStyle w:val="Bullet"/>
        <w:numPr>
          <w:ilvl w:val="2"/>
          <w:numId w:val="14"/>
        </w:numPr>
        <w:tabs>
          <w:tab w:val="num" w:pos="1440"/>
        </w:tabs>
        <w:ind w:left="1440" w:hanging="720"/>
      </w:pPr>
      <w:r w:rsidRPr="00C22F91">
        <w:t>require the Tenderer to clarify its Tender in writing and/or provide additional information.</w:t>
      </w:r>
      <w:r w:rsidR="00401EFC">
        <w:t xml:space="preserve"> </w:t>
      </w:r>
      <w:r w:rsidRPr="00C22F91">
        <w:t>(Failure to respond adequately may result in the Tenderer not being selected)</w:t>
      </w:r>
      <w:bookmarkEnd w:id="28"/>
      <w:bookmarkEnd w:id="29"/>
      <w:r w:rsidRPr="00C22F91">
        <w:t>.</w:t>
      </w:r>
    </w:p>
    <w:p w14:paraId="1199379F" w14:textId="77777777" w:rsidR="00074B5B" w:rsidRPr="00FA4517" w:rsidRDefault="00C22F91" w:rsidP="00074B5B">
      <w:pPr>
        <w:pStyle w:val="Heading8"/>
        <w:rPr>
          <w:color w:val="416CBB"/>
        </w:rPr>
      </w:pPr>
      <w:r w:rsidRPr="00FA4517">
        <w:rPr>
          <w:color w:val="416CBB"/>
        </w:rPr>
        <w:t>Customer References</w:t>
      </w:r>
    </w:p>
    <w:p w14:paraId="3DF792CC" w14:textId="77777777" w:rsidR="00C22F91" w:rsidRPr="00C22F91" w:rsidRDefault="00C22F91" w:rsidP="000B0C83">
      <w:pPr>
        <w:pStyle w:val="Heading2"/>
        <w:numPr>
          <w:ilvl w:val="1"/>
          <w:numId w:val="14"/>
        </w:numPr>
      </w:pPr>
      <w:r w:rsidRPr="00C22F91">
        <w:t>Unless already taken up at an earlier stage in the procurement process and after the receipt of Tenders, the Authority may visit at least one customer reference site of the Tenderer and may seek written references from any other designated customers which are not visited.</w:t>
      </w:r>
    </w:p>
    <w:p w14:paraId="5DC77340" w14:textId="77777777" w:rsidR="00C22F91" w:rsidRPr="00FA4517" w:rsidRDefault="00C22F91" w:rsidP="00954471">
      <w:pPr>
        <w:pStyle w:val="Heading8"/>
        <w:rPr>
          <w:color w:val="416CBB"/>
        </w:rPr>
      </w:pPr>
      <w:r w:rsidRPr="00FA4517">
        <w:rPr>
          <w:color w:val="416CBB"/>
        </w:rPr>
        <w:t>Notification of Award</w:t>
      </w:r>
    </w:p>
    <w:p w14:paraId="479D419B" w14:textId="77777777" w:rsidR="00C22F91" w:rsidRPr="00C22F91" w:rsidRDefault="00C22F91" w:rsidP="000B0C83">
      <w:pPr>
        <w:pStyle w:val="Heading2"/>
        <w:numPr>
          <w:ilvl w:val="1"/>
          <w:numId w:val="14"/>
        </w:numPr>
      </w:pPr>
      <w:r w:rsidRPr="00C22F91">
        <w:t>The Authority will notify the successful Tenderer(s) of their awar</w:t>
      </w:r>
      <w:r w:rsidR="005653BC">
        <w:t xml:space="preserve">d of the contract in writing. </w:t>
      </w:r>
    </w:p>
    <w:p w14:paraId="76EAAB9A" w14:textId="77777777" w:rsidR="00C22F91" w:rsidRPr="00FA4517" w:rsidRDefault="00C22F91" w:rsidP="00954471">
      <w:pPr>
        <w:pStyle w:val="Heading8"/>
        <w:rPr>
          <w:color w:val="416CBB"/>
        </w:rPr>
      </w:pPr>
      <w:r w:rsidRPr="00FA4517">
        <w:rPr>
          <w:color w:val="416CBB"/>
        </w:rPr>
        <w:t>Debriefing</w:t>
      </w:r>
    </w:p>
    <w:p w14:paraId="23C61A0C" w14:textId="77777777" w:rsidR="00C22F91" w:rsidRPr="00C22F91" w:rsidRDefault="00C22F91" w:rsidP="000B0C83">
      <w:pPr>
        <w:pStyle w:val="Heading2"/>
        <w:numPr>
          <w:ilvl w:val="1"/>
          <w:numId w:val="14"/>
        </w:numPr>
      </w:pPr>
      <w:r w:rsidRPr="00C22F91">
        <w:t xml:space="preserve">Following the conclusion of the </w:t>
      </w:r>
      <w:r w:rsidR="00BF292E">
        <w:t>tender process</w:t>
      </w:r>
      <w:r w:rsidRPr="00C22F91">
        <w:t xml:space="preserve">, all unsuccessful Tenderers will be afforded the opportunity of a debriefing. </w:t>
      </w:r>
      <w:r w:rsidR="005653BC">
        <w:t>This debriefing will be in a similar format to that required under the Public Contract Regulations 20</w:t>
      </w:r>
      <w:r w:rsidR="00EB15BE">
        <w:t xml:space="preserve">15. Whilst similar to the PCR, </w:t>
      </w:r>
      <w:r w:rsidR="005653BC">
        <w:t xml:space="preserve">the Council is under no obligations associated with that document. </w:t>
      </w:r>
    </w:p>
    <w:p w14:paraId="01E215CE" w14:textId="77777777" w:rsidR="00C22F91" w:rsidRPr="00C22F91" w:rsidRDefault="005653BC" w:rsidP="000B0C83">
      <w:pPr>
        <w:pStyle w:val="Heading2"/>
        <w:numPr>
          <w:ilvl w:val="1"/>
          <w:numId w:val="14"/>
        </w:numPr>
      </w:pPr>
      <w:r>
        <w:t>Not Used</w:t>
      </w:r>
    </w:p>
    <w:p w14:paraId="596B3256" w14:textId="77777777" w:rsidR="00C22F91" w:rsidRPr="00FA4517" w:rsidRDefault="00C22F91" w:rsidP="00954471">
      <w:pPr>
        <w:pStyle w:val="Heading8"/>
        <w:rPr>
          <w:color w:val="416CBB"/>
        </w:rPr>
      </w:pPr>
      <w:r w:rsidRPr="00FA4517">
        <w:rPr>
          <w:color w:val="416CBB"/>
        </w:rPr>
        <w:t>Statement of Compliance</w:t>
      </w:r>
    </w:p>
    <w:p w14:paraId="0076F76C" w14:textId="77777777" w:rsidR="00A445F1" w:rsidRPr="00900620" w:rsidRDefault="005653BC" w:rsidP="000B0C83">
      <w:pPr>
        <w:pStyle w:val="Heading2"/>
        <w:numPr>
          <w:ilvl w:val="1"/>
          <w:numId w:val="14"/>
        </w:numPr>
      </w:pPr>
      <w:r>
        <w:t>Not Used</w:t>
      </w:r>
    </w:p>
    <w:p w14:paraId="6EFE9D1C" w14:textId="77777777" w:rsidR="00A445F1" w:rsidRDefault="00A445F1" w:rsidP="000B0C83">
      <w:pPr>
        <w:pStyle w:val="Heading1"/>
        <w:numPr>
          <w:ilvl w:val="0"/>
          <w:numId w:val="14"/>
        </w:numPr>
      </w:pPr>
      <w:r>
        <w:br w:type="page"/>
      </w:r>
      <w:bookmarkStart w:id="30" w:name="_Toc226970464"/>
      <w:r w:rsidR="007F0C71">
        <w:lastRenderedPageBreak/>
        <w:t xml:space="preserve">Response, </w:t>
      </w:r>
      <w:r w:rsidR="00D100B7">
        <w:t xml:space="preserve">Submission and </w:t>
      </w:r>
      <w:r>
        <w:t>Evaluation</w:t>
      </w:r>
      <w:bookmarkEnd w:id="30"/>
    </w:p>
    <w:p w14:paraId="38DE21D3" w14:textId="77777777" w:rsidR="005653BC" w:rsidRDefault="005653BC" w:rsidP="00954471">
      <w:pPr>
        <w:pStyle w:val="Heading8"/>
        <w:rPr>
          <w:color w:val="416CBB"/>
        </w:rPr>
      </w:pPr>
      <w:bookmarkStart w:id="31" w:name="_Toc159578286"/>
      <w:r>
        <w:rPr>
          <w:color w:val="416CBB"/>
        </w:rPr>
        <w:t>Use of Lots</w:t>
      </w:r>
    </w:p>
    <w:p w14:paraId="3CC47B30" w14:textId="77777777" w:rsidR="005653BC" w:rsidRDefault="005653BC" w:rsidP="005653BC">
      <w:r>
        <w:t xml:space="preserve">The Authority has </w:t>
      </w:r>
      <w:r w:rsidR="00907FAF">
        <w:t>considered dividing</w:t>
      </w:r>
      <w:r>
        <w:t xml:space="preserve"> this contract into Lots to encourage further competition and has concluded that the size and scope of the procurement cannot be reduced further. Therefore, no lots have been used in this tender process.</w:t>
      </w:r>
    </w:p>
    <w:p w14:paraId="58B6AA9E" w14:textId="77777777" w:rsidR="00827638" w:rsidRPr="00CD42C0" w:rsidRDefault="00827638" w:rsidP="00954471">
      <w:pPr>
        <w:pStyle w:val="Heading8"/>
        <w:rPr>
          <w:color w:val="416CBB"/>
        </w:rPr>
      </w:pPr>
      <w:r w:rsidRPr="00CD42C0">
        <w:rPr>
          <w:color w:val="416CBB"/>
        </w:rPr>
        <w:t>Required Response Format</w:t>
      </w:r>
    </w:p>
    <w:p w14:paraId="72BC427E" w14:textId="77777777" w:rsidR="005B0A0B" w:rsidRDefault="00827638" w:rsidP="005B0A0B">
      <w:pPr>
        <w:pStyle w:val="Heading2"/>
      </w:pPr>
      <w:r>
        <w:t xml:space="preserve">This section sets out the required structure of the Tender. </w:t>
      </w:r>
      <w:r w:rsidRPr="003B45AA">
        <w:t>There are no</w:t>
      </w:r>
      <w:r w:rsidR="003A28AB" w:rsidRPr="003B45AA">
        <w:t xml:space="preserve"> specific word limits,</w:t>
      </w:r>
      <w:r w:rsidR="003A28AB">
        <w:t xml:space="preserve"> however T</w:t>
      </w:r>
      <w:r>
        <w:t>enderers should ensure that responses are relevant and proportionate to the questions being addressed.</w:t>
      </w:r>
    </w:p>
    <w:p w14:paraId="3B4FC679" w14:textId="77777777" w:rsidR="005B0A0B" w:rsidRDefault="005B0A0B" w:rsidP="005B0A0B">
      <w:pPr>
        <w:pStyle w:val="Heading2"/>
      </w:pPr>
      <w:r>
        <w:t xml:space="preserve">Failure to respond to the requirements below may result in your submission being rejected. </w:t>
      </w:r>
    </w:p>
    <w:p w14:paraId="7E7DDC9B" w14:textId="77777777" w:rsidR="005B0A0B" w:rsidRDefault="005B0A0B" w:rsidP="005B0A0B">
      <w:pPr>
        <w:pStyle w:val="Heading8"/>
        <w:rPr>
          <w:color w:val="416CBB"/>
        </w:rPr>
      </w:pPr>
      <w:r w:rsidRPr="005B0A0B">
        <w:rPr>
          <w:color w:val="416CBB"/>
        </w:rPr>
        <w:t>S</w:t>
      </w:r>
      <w:r w:rsidR="008173AC">
        <w:rPr>
          <w:color w:val="416CBB"/>
        </w:rPr>
        <w:t xml:space="preserve">election Phase Questions </w:t>
      </w:r>
      <w:r w:rsidRPr="005B0A0B">
        <w:rPr>
          <w:color w:val="416CBB"/>
        </w:rPr>
        <w:t xml:space="preserve"> </w:t>
      </w:r>
    </w:p>
    <w:p w14:paraId="3D851F8B" w14:textId="77777777" w:rsidR="005B0A0B" w:rsidRDefault="005B0A0B" w:rsidP="005B0A0B">
      <w:r>
        <w:t>Tenderers must complete the Standard Selection Questionnaire. Tenderers should consider the following selection requirements:</w:t>
      </w:r>
    </w:p>
    <w:p w14:paraId="3717ED71" w14:textId="77777777" w:rsidR="005B0A0B" w:rsidRDefault="005B0A0B" w:rsidP="000B0C83">
      <w:pPr>
        <w:numPr>
          <w:ilvl w:val="0"/>
          <w:numId w:val="15"/>
        </w:numPr>
      </w:pPr>
      <w:r>
        <w:t xml:space="preserve">Financial and economic standing (turnover or audited accounts) - the tenderer </w:t>
      </w:r>
      <w:r w:rsidRPr="005B0A0B">
        <w:rPr>
          <w:b/>
          <w:u w:val="single"/>
        </w:rPr>
        <w:t>must</w:t>
      </w:r>
      <w:r>
        <w:t xml:space="preserve"> demonstrate annual turnover in excess of </w:t>
      </w:r>
      <w:r w:rsidR="00811913" w:rsidRPr="00887C35">
        <w:t>£1 million</w:t>
      </w:r>
      <w:r w:rsidRPr="00887C35">
        <w:t>.</w:t>
      </w:r>
      <w:r>
        <w:t xml:space="preserve"> </w:t>
      </w:r>
    </w:p>
    <w:p w14:paraId="2BFCC8A4" w14:textId="77777777" w:rsidR="005B0A0B" w:rsidRDefault="005B0A0B" w:rsidP="000B0C83">
      <w:pPr>
        <w:numPr>
          <w:ilvl w:val="0"/>
          <w:numId w:val="15"/>
        </w:numPr>
      </w:pPr>
      <w:r>
        <w:t>Technical capability – the tenderer must provide the requested references identified in the Standard Selection Questionnaire. The Authority may consult these references to ensure the accuracy of the statements made by the tenderer. Inaccuracy may lead to the rejection of your tender.</w:t>
      </w:r>
    </w:p>
    <w:p w14:paraId="1BAA0516" w14:textId="77777777" w:rsidR="005B0A0B" w:rsidRDefault="005B0A0B" w:rsidP="000B0C83">
      <w:pPr>
        <w:numPr>
          <w:ilvl w:val="0"/>
          <w:numId w:val="15"/>
        </w:numPr>
      </w:pPr>
      <w:r>
        <w:t xml:space="preserve">Insurance – The tenderer is not required to have the identified insurance in place at the time of tender but is required to commit to these forms of insurance upon award of contract. Failure to agree to this requirement </w:t>
      </w:r>
      <w:r w:rsidRPr="008173AC">
        <w:rPr>
          <w:b/>
        </w:rPr>
        <w:t>will</w:t>
      </w:r>
      <w:r>
        <w:t xml:space="preserve"> lead to the tender being rejected.</w:t>
      </w:r>
    </w:p>
    <w:p w14:paraId="6491D7BC" w14:textId="77777777" w:rsidR="008173AC" w:rsidRDefault="008173AC" w:rsidP="008173AC">
      <w:r>
        <w:t xml:space="preserve">This phase operates using a pass/fail approach. Tenderers must pass all the above requirements in order to be considered in the Award Phase. </w:t>
      </w:r>
    </w:p>
    <w:p w14:paraId="4A0E30B8" w14:textId="77777777" w:rsidR="008173AC" w:rsidRDefault="008173AC" w:rsidP="008173AC">
      <w:r>
        <w:t>The PCR 2015 allows the Authority the right to consider the Award Phase responses prior to the Selection Phase and where the Authority elects to do this the Selection Phase information of the preferred tenderer will be checked prior to notification of the intention to award a contract.</w:t>
      </w:r>
    </w:p>
    <w:p w14:paraId="1D6FF27D" w14:textId="77777777" w:rsidR="00FE4DF9" w:rsidRDefault="00FE4DF9" w:rsidP="008173AC">
      <w:pPr>
        <w:rPr>
          <w:b/>
        </w:rPr>
      </w:pPr>
      <w:r>
        <w:rPr>
          <w:b/>
        </w:rPr>
        <w:t>Compliance with Specification</w:t>
      </w:r>
    </w:p>
    <w:p w14:paraId="6AB6719C" w14:textId="77777777" w:rsidR="00FE4DF9" w:rsidRPr="00FE4DF9" w:rsidRDefault="00FE4DF9" w:rsidP="008173AC">
      <w:r>
        <w:t>Tenderers ar</w:t>
      </w:r>
      <w:r w:rsidR="00EA5492">
        <w:t xml:space="preserve">e required to provide </w:t>
      </w:r>
      <w:r>
        <w:t xml:space="preserve">compliance with the specification provided by responding </w:t>
      </w:r>
      <w:r w:rsidRPr="00D612AE">
        <w:rPr>
          <w:b/>
        </w:rPr>
        <w:t>yes or no</w:t>
      </w:r>
      <w:r>
        <w:t xml:space="preserve"> in the appropriate box. A completed copy of this document must be returned with the tender submission. Responses that identify a non-compliance with the specification may be rejected unless specific mitigation is identified that allows for equivalent performance/functionality. For clarity this is a </w:t>
      </w:r>
      <w:r w:rsidRPr="00FE1920">
        <w:rPr>
          <w:b/>
        </w:rPr>
        <w:t>pass</w:t>
      </w:r>
      <w:r w:rsidR="00FE1920" w:rsidRPr="00FE1920">
        <w:rPr>
          <w:b/>
        </w:rPr>
        <w:t xml:space="preserve"> or fail</w:t>
      </w:r>
      <w:r>
        <w:t xml:space="preserve"> criterion. </w:t>
      </w:r>
    </w:p>
    <w:p w14:paraId="74316375" w14:textId="77777777" w:rsidR="005B0A0B" w:rsidRPr="005B0A0B" w:rsidRDefault="005B0A0B" w:rsidP="005B0A0B">
      <w:pPr>
        <w:pStyle w:val="Heading8"/>
        <w:rPr>
          <w:color w:val="416CBB"/>
        </w:rPr>
      </w:pPr>
      <w:r w:rsidRPr="005B0A0B">
        <w:rPr>
          <w:color w:val="416CBB"/>
        </w:rPr>
        <w:lastRenderedPageBreak/>
        <w:t xml:space="preserve">Award Phase Questions </w:t>
      </w:r>
    </w:p>
    <w:p w14:paraId="25C16E06" w14:textId="77777777" w:rsidR="00827638" w:rsidRDefault="0022730E" w:rsidP="00827638">
      <w:pPr>
        <w:pStyle w:val="Heading2"/>
      </w:pPr>
      <w:r>
        <w:t>Tenderers must</w:t>
      </w:r>
      <w:r w:rsidR="00827638">
        <w:t xml:space="preserve"> include responses to each of the following</w:t>
      </w:r>
      <w:r w:rsidR="008173AC">
        <w:t xml:space="preserve"> questions. Failure to supply a response will result in the rejection of your submission</w:t>
      </w:r>
      <w:r w:rsidR="00827638">
        <w:t>:</w:t>
      </w:r>
    </w:p>
    <w:p w14:paraId="08A6B306" w14:textId="77777777" w:rsidR="00FE1920" w:rsidRPr="00FE1920" w:rsidRDefault="00827638" w:rsidP="00FE1920">
      <w:pPr>
        <w:pStyle w:val="Heading2"/>
        <w:numPr>
          <w:ilvl w:val="1"/>
          <w:numId w:val="14"/>
        </w:numPr>
      </w:pPr>
      <w:r>
        <w:t xml:space="preserve">An </w:t>
      </w:r>
      <w:r w:rsidRPr="00FE1920">
        <w:rPr>
          <w:b/>
        </w:rPr>
        <w:t>Executive Summary</w:t>
      </w:r>
      <w:r>
        <w:t xml:space="preserve"> – highlighting the key elements of the proposed approach and commercial matters.</w:t>
      </w:r>
      <w:r w:rsidR="00BF292E">
        <w:t xml:space="preserve"> (</w:t>
      </w:r>
      <w:r w:rsidR="00FE1920">
        <w:t>Not Scored)</w:t>
      </w:r>
    </w:p>
    <w:p w14:paraId="7E2EB4A8" w14:textId="77777777" w:rsidR="00827638" w:rsidRPr="00887C35" w:rsidRDefault="00827638" w:rsidP="00C7662D">
      <w:pPr>
        <w:pStyle w:val="Heading2"/>
        <w:numPr>
          <w:ilvl w:val="1"/>
          <w:numId w:val="14"/>
        </w:numPr>
      </w:pPr>
      <w:r w:rsidRPr="00887C35">
        <w:rPr>
          <w:b/>
        </w:rPr>
        <w:t>Meeting the Specification</w:t>
      </w:r>
      <w:r w:rsidRPr="00887C35">
        <w:t xml:space="preserve"> (understanding the aims and is</w:t>
      </w:r>
      <w:smartTag w:uri="urn:schemas-microsoft-com:office:smarttags" w:element="PersonName">
        <w:r w:rsidRPr="00887C35">
          <w:t>sue</w:t>
        </w:r>
      </w:smartTag>
      <w:r w:rsidRPr="00887C35">
        <w:t>s of the project)</w:t>
      </w:r>
    </w:p>
    <w:p w14:paraId="60D59C2C" w14:textId="40E1B6BB" w:rsidR="00CC715F" w:rsidRPr="00887C35" w:rsidRDefault="00CC715F" w:rsidP="00887C35">
      <w:pPr>
        <w:pStyle w:val="Bullet"/>
        <w:numPr>
          <w:ilvl w:val="2"/>
          <w:numId w:val="14"/>
        </w:numPr>
        <w:tabs>
          <w:tab w:val="num" w:pos="709"/>
          <w:tab w:val="num" w:pos="1440"/>
        </w:tabs>
        <w:ind w:left="2127"/>
      </w:pPr>
      <w:r w:rsidRPr="00887C35">
        <w:t xml:space="preserve">Please provide a statement on the design of the craft detailing how it meets each of the mandatory requirements in Section </w:t>
      </w:r>
      <w:r w:rsidR="002414B8" w:rsidRPr="00887C35">
        <w:t xml:space="preserve">E </w:t>
      </w:r>
      <w:r w:rsidR="008D33EB" w:rsidRPr="00887C35">
        <w:t xml:space="preserve">- </w:t>
      </w:r>
      <w:r w:rsidR="002414B8" w:rsidRPr="00887C35">
        <w:t xml:space="preserve">Scope of Services and </w:t>
      </w:r>
      <w:r w:rsidRPr="00887C35">
        <w:t>Specification</w:t>
      </w:r>
      <w:r w:rsidR="002414B8" w:rsidRPr="00887C35">
        <w:t xml:space="preserve"> detailed in Annex B</w:t>
      </w:r>
      <w:r w:rsidR="00A85C2D" w:rsidRPr="00887C35">
        <w:t xml:space="preserve">. </w:t>
      </w:r>
      <w:r w:rsidRPr="00887C35">
        <w:rPr>
          <w:b/>
        </w:rPr>
        <w:t>(</w:t>
      </w:r>
      <w:r w:rsidR="007F3A7A" w:rsidRPr="00887C35">
        <w:rPr>
          <w:b/>
        </w:rPr>
        <w:t>45</w:t>
      </w:r>
      <w:r w:rsidRPr="00887C35">
        <w:rPr>
          <w:b/>
        </w:rPr>
        <w:t>%)</w:t>
      </w:r>
      <w:r w:rsidRPr="00887C35">
        <w:t xml:space="preserve">. </w:t>
      </w:r>
    </w:p>
    <w:p w14:paraId="7DD529A9" w14:textId="006C5BB7" w:rsidR="00742573" w:rsidRPr="00887C35" w:rsidRDefault="00742573" w:rsidP="00887C35">
      <w:pPr>
        <w:pStyle w:val="Bullet"/>
        <w:numPr>
          <w:ilvl w:val="1"/>
          <w:numId w:val="14"/>
        </w:numPr>
        <w:tabs>
          <w:tab w:val="num" w:pos="1440"/>
          <w:tab w:val="num" w:pos="1843"/>
        </w:tabs>
      </w:pPr>
      <w:r w:rsidRPr="00887C35">
        <w:t>Please provide a statement on the stability and sea keeping qualities of the craft</w:t>
      </w:r>
      <w:r w:rsidR="00907FAF" w:rsidRPr="00887C35">
        <w:t xml:space="preserve"> </w:t>
      </w:r>
      <w:r w:rsidR="00907FAF" w:rsidRPr="00887C35">
        <w:rPr>
          <w:b/>
        </w:rPr>
        <w:t>(</w:t>
      </w:r>
      <w:r w:rsidR="00C4790B" w:rsidRPr="00887C35">
        <w:rPr>
          <w:b/>
        </w:rPr>
        <w:t>10</w:t>
      </w:r>
      <w:r w:rsidR="00907FAF" w:rsidRPr="00887C35">
        <w:rPr>
          <w:b/>
        </w:rPr>
        <w:t>%)</w:t>
      </w:r>
      <w:r w:rsidRPr="00887C35">
        <w:t>. This should include:</w:t>
      </w:r>
    </w:p>
    <w:p w14:paraId="75AC24E3" w14:textId="77777777" w:rsidR="00742573" w:rsidRPr="00887C35" w:rsidRDefault="00D612AE" w:rsidP="00742573">
      <w:pPr>
        <w:pStyle w:val="Bullet"/>
        <w:numPr>
          <w:ilvl w:val="3"/>
          <w:numId w:val="14"/>
        </w:numPr>
        <w:tabs>
          <w:tab w:val="clear" w:pos="3119"/>
        </w:tabs>
        <w:ind w:left="2835" w:hanging="1134"/>
      </w:pPr>
      <w:r w:rsidRPr="00887C35">
        <w:t>The craft should be stable at rest such as that as crew move around the deck there is no appreciable heel.</w:t>
      </w:r>
    </w:p>
    <w:p w14:paraId="68101944" w14:textId="77777777" w:rsidR="00D612AE" w:rsidRPr="00887C35" w:rsidRDefault="00D612AE" w:rsidP="00742573">
      <w:pPr>
        <w:pStyle w:val="Bullet"/>
        <w:numPr>
          <w:ilvl w:val="3"/>
          <w:numId w:val="14"/>
        </w:numPr>
        <w:tabs>
          <w:tab w:val="clear" w:pos="3119"/>
          <w:tab w:val="left" w:pos="2835"/>
        </w:tabs>
        <w:ind w:left="2835" w:hanging="1134"/>
      </w:pPr>
      <w:r w:rsidRPr="00887C35">
        <w:t xml:space="preserve">When </w:t>
      </w:r>
      <w:proofErr w:type="spellStart"/>
      <w:r w:rsidRPr="00887C35">
        <w:t>planing</w:t>
      </w:r>
      <w:proofErr w:type="spellEnd"/>
      <w:r w:rsidRPr="00887C35">
        <w:t xml:space="preserve"> the craft should run level</w:t>
      </w:r>
    </w:p>
    <w:p w14:paraId="4CA628D5" w14:textId="77777777" w:rsidR="00742573" w:rsidRPr="00887C35" w:rsidRDefault="00D612AE" w:rsidP="00D612AE">
      <w:pPr>
        <w:pStyle w:val="Bullet"/>
        <w:numPr>
          <w:ilvl w:val="3"/>
          <w:numId w:val="14"/>
        </w:numPr>
        <w:tabs>
          <w:tab w:val="clear" w:pos="3119"/>
          <w:tab w:val="left" w:pos="2835"/>
        </w:tabs>
        <w:ind w:left="2835" w:hanging="1134"/>
      </w:pPr>
      <w:r w:rsidRPr="00887C35">
        <w:t>Supply data for</w:t>
      </w:r>
      <w:r w:rsidR="00742573" w:rsidRPr="00887C35">
        <w:t xml:space="preserve"> the speed at which the craft is “on the plane” with minimum and maximum payloads. Time to get on to the plane with these loads should also be stated</w:t>
      </w:r>
      <w:r w:rsidRPr="00887C35">
        <w:t>, quicker times are preferred.</w:t>
      </w:r>
    </w:p>
    <w:p w14:paraId="1F53A517" w14:textId="4780BCE9" w:rsidR="005975EE" w:rsidRPr="00887C35" w:rsidRDefault="00043FC6" w:rsidP="005975EE">
      <w:pPr>
        <w:pStyle w:val="Bullet"/>
        <w:ind w:left="1440"/>
        <w:rPr>
          <w:b/>
        </w:rPr>
      </w:pPr>
      <w:r w:rsidRPr="00887C35">
        <w:rPr>
          <w:b/>
        </w:rPr>
        <w:t xml:space="preserve">TOTAL – </w:t>
      </w:r>
      <w:r w:rsidR="007F3A7A" w:rsidRPr="00887C35">
        <w:rPr>
          <w:b/>
        </w:rPr>
        <w:t>55</w:t>
      </w:r>
      <w:r w:rsidR="005975EE" w:rsidRPr="00887C35">
        <w:rPr>
          <w:b/>
        </w:rPr>
        <w:t>%</w:t>
      </w:r>
    </w:p>
    <w:p w14:paraId="67DA2F4C" w14:textId="77777777" w:rsidR="00AF5641" w:rsidRDefault="00AF5641" w:rsidP="00AF5641">
      <w:r w:rsidRPr="00887C35">
        <w:rPr>
          <w:b/>
        </w:rPr>
        <w:t>Scoring Methodology:</w:t>
      </w:r>
      <w:r>
        <w:tab/>
      </w:r>
    </w:p>
    <w:p w14:paraId="385556E5" w14:textId="77777777" w:rsidR="00AF5641" w:rsidRPr="00F44A3F" w:rsidRDefault="00AF5641" w:rsidP="00AF5641">
      <w:pPr>
        <w:ind w:left="709"/>
      </w:pPr>
      <w:r>
        <w:tab/>
        <w:t>The tender submissions will be assessed using the scoring methodology below. If a tender submission receives a fail then the tender will not be considered further and will be rejected on the ground that the appointment would present too great a risk to the delivery of the contract.</w:t>
      </w:r>
    </w:p>
    <w:tbl>
      <w:tblPr>
        <w:tblW w:w="9424" w:type="dxa"/>
        <w:tblLook w:val="04A0" w:firstRow="1" w:lastRow="0" w:firstColumn="1" w:lastColumn="0" w:noHBand="0" w:noVBand="1"/>
      </w:tblPr>
      <w:tblGrid>
        <w:gridCol w:w="713"/>
        <w:gridCol w:w="8711"/>
      </w:tblGrid>
      <w:tr w:rsidR="00AF5641" w:rsidRPr="00AF5641" w14:paraId="5DD16919" w14:textId="77777777" w:rsidTr="00887C35">
        <w:trPr>
          <w:trHeight w:val="184"/>
        </w:trPr>
        <w:tc>
          <w:tcPr>
            <w:tcW w:w="0" w:type="auto"/>
            <w:tcBorders>
              <w:top w:val="single" w:sz="4" w:space="0" w:color="auto"/>
              <w:left w:val="single" w:sz="4" w:space="0" w:color="auto"/>
              <w:bottom w:val="single" w:sz="4" w:space="0" w:color="auto"/>
              <w:right w:val="single" w:sz="4" w:space="0" w:color="auto"/>
            </w:tcBorders>
            <w:shd w:val="clear" w:color="000000" w:fill="8DB4E3"/>
            <w:noWrap/>
            <w:vAlign w:val="center"/>
            <w:hideMark/>
          </w:tcPr>
          <w:p w14:paraId="3AE026DD" w14:textId="77777777" w:rsidR="00AF5641" w:rsidRPr="00AF5641" w:rsidRDefault="00AF5641" w:rsidP="00AF5641">
            <w:pPr>
              <w:spacing w:after="0"/>
              <w:jc w:val="center"/>
              <w:rPr>
                <w:rFonts w:ascii="Calibri" w:hAnsi="Calibri" w:cs="Calibri"/>
                <w:color w:val="000000"/>
                <w:szCs w:val="22"/>
                <w:lang w:eastAsia="en-GB"/>
              </w:rPr>
            </w:pPr>
            <w:r w:rsidRPr="00AF5641">
              <w:rPr>
                <w:rFonts w:ascii="Calibri" w:hAnsi="Calibri" w:cs="Calibri"/>
                <w:color w:val="000000"/>
                <w:szCs w:val="22"/>
                <w:lang w:eastAsia="en-GB"/>
              </w:rPr>
              <w:t>Score</w:t>
            </w:r>
          </w:p>
        </w:tc>
        <w:tc>
          <w:tcPr>
            <w:tcW w:w="0" w:type="auto"/>
            <w:tcBorders>
              <w:top w:val="single" w:sz="4" w:space="0" w:color="auto"/>
              <w:left w:val="nil"/>
              <w:bottom w:val="single" w:sz="4" w:space="0" w:color="auto"/>
              <w:right w:val="single" w:sz="4" w:space="0" w:color="auto"/>
            </w:tcBorders>
            <w:shd w:val="clear" w:color="000000" w:fill="8DB4E3"/>
            <w:noWrap/>
            <w:vAlign w:val="center"/>
            <w:hideMark/>
          </w:tcPr>
          <w:p w14:paraId="443FC766" w14:textId="77777777" w:rsidR="00AF5641" w:rsidRPr="00AF5641" w:rsidRDefault="00AF5641" w:rsidP="00AF5641">
            <w:pPr>
              <w:spacing w:after="0"/>
              <w:rPr>
                <w:rFonts w:ascii="Calibri" w:hAnsi="Calibri" w:cs="Calibri"/>
                <w:color w:val="000000"/>
                <w:szCs w:val="22"/>
                <w:lang w:eastAsia="en-GB"/>
              </w:rPr>
            </w:pPr>
            <w:r w:rsidRPr="00AF5641">
              <w:rPr>
                <w:rFonts w:ascii="Calibri" w:hAnsi="Calibri" w:cs="Calibri"/>
                <w:color w:val="000000"/>
                <w:szCs w:val="22"/>
                <w:lang w:eastAsia="en-GB"/>
              </w:rPr>
              <w:t>Assessment</w:t>
            </w:r>
          </w:p>
        </w:tc>
      </w:tr>
      <w:tr w:rsidR="00AF5641" w:rsidRPr="00AF5641" w14:paraId="45CA3C19" w14:textId="77777777" w:rsidTr="00887C35">
        <w:trPr>
          <w:trHeight w:val="33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B9C424"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t>0</w:t>
            </w:r>
          </w:p>
        </w:tc>
        <w:tc>
          <w:tcPr>
            <w:tcW w:w="0" w:type="auto"/>
            <w:tcBorders>
              <w:top w:val="nil"/>
              <w:left w:val="nil"/>
              <w:bottom w:val="single" w:sz="4" w:space="0" w:color="auto"/>
              <w:right w:val="single" w:sz="4" w:space="0" w:color="auto"/>
            </w:tcBorders>
            <w:shd w:val="clear" w:color="auto" w:fill="auto"/>
            <w:vAlign w:val="center"/>
            <w:hideMark/>
          </w:tcPr>
          <w:p w14:paraId="02A66DAD"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The Question is not answered or the response is completely unacceptable.</w:t>
            </w:r>
          </w:p>
        </w:tc>
      </w:tr>
      <w:tr w:rsidR="00AF5641" w:rsidRPr="00AF5641" w14:paraId="50CC4218" w14:textId="77777777" w:rsidTr="00887C35">
        <w:trPr>
          <w:trHeight w:val="33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70520A"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t>10</w:t>
            </w:r>
          </w:p>
        </w:tc>
        <w:tc>
          <w:tcPr>
            <w:tcW w:w="0" w:type="auto"/>
            <w:tcBorders>
              <w:top w:val="nil"/>
              <w:left w:val="nil"/>
              <w:bottom w:val="single" w:sz="4" w:space="0" w:color="auto"/>
              <w:right w:val="single" w:sz="4" w:space="0" w:color="auto"/>
            </w:tcBorders>
            <w:shd w:val="clear" w:color="auto" w:fill="auto"/>
            <w:vAlign w:val="center"/>
            <w:hideMark/>
          </w:tcPr>
          <w:p w14:paraId="42083B00"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Extremely poor response – they have completely missed the point of the question.</w:t>
            </w:r>
          </w:p>
        </w:tc>
      </w:tr>
      <w:tr w:rsidR="00AF5641" w:rsidRPr="00AF5641" w14:paraId="77736D8C" w14:textId="77777777" w:rsidTr="00887C35">
        <w:trPr>
          <w:trHeight w:val="7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107D6B"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t>20</w:t>
            </w:r>
          </w:p>
        </w:tc>
        <w:tc>
          <w:tcPr>
            <w:tcW w:w="0" w:type="auto"/>
            <w:tcBorders>
              <w:top w:val="nil"/>
              <w:left w:val="nil"/>
              <w:bottom w:val="single" w:sz="4" w:space="0" w:color="auto"/>
              <w:right w:val="single" w:sz="4" w:space="0" w:color="auto"/>
            </w:tcBorders>
            <w:shd w:val="clear" w:color="auto" w:fill="auto"/>
            <w:vAlign w:val="center"/>
            <w:hideMark/>
          </w:tcPr>
          <w:p w14:paraId="5EA83E85"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Very poor response and not wholly acceptable. Requires major revision to the response to make it acceptable. Only partially answers the requirement, with major deficiencies and little relevant detail proposed.</w:t>
            </w:r>
          </w:p>
        </w:tc>
      </w:tr>
      <w:tr w:rsidR="00AF5641" w:rsidRPr="00AF5641" w14:paraId="715F2735" w14:textId="77777777" w:rsidTr="00887C35">
        <w:trPr>
          <w:trHeight w:val="69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3E9005"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t>40</w:t>
            </w:r>
          </w:p>
        </w:tc>
        <w:tc>
          <w:tcPr>
            <w:tcW w:w="0" w:type="auto"/>
            <w:tcBorders>
              <w:top w:val="nil"/>
              <w:left w:val="nil"/>
              <w:bottom w:val="single" w:sz="4" w:space="0" w:color="auto"/>
              <w:right w:val="single" w:sz="4" w:space="0" w:color="auto"/>
            </w:tcBorders>
            <w:shd w:val="clear" w:color="auto" w:fill="auto"/>
            <w:vAlign w:val="center"/>
            <w:hideMark/>
          </w:tcPr>
          <w:p w14:paraId="5527C28B"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Poor response only partially satisfying the selection question requirements with deficiencies apparent. Some useful evidence provided but response falls well short of expectations. Low probability of being a capable supplier.</w:t>
            </w:r>
          </w:p>
        </w:tc>
      </w:tr>
      <w:tr w:rsidR="00AF5641" w:rsidRPr="00AF5641" w14:paraId="79F8621B" w14:textId="77777777" w:rsidTr="00887C35">
        <w:trPr>
          <w:trHeight w:val="5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701EDA"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t>60</w:t>
            </w:r>
          </w:p>
        </w:tc>
        <w:tc>
          <w:tcPr>
            <w:tcW w:w="0" w:type="auto"/>
            <w:tcBorders>
              <w:top w:val="nil"/>
              <w:left w:val="nil"/>
              <w:bottom w:val="single" w:sz="4" w:space="0" w:color="auto"/>
              <w:right w:val="single" w:sz="4" w:space="0" w:color="auto"/>
            </w:tcBorders>
            <w:shd w:val="clear" w:color="auto" w:fill="auto"/>
            <w:vAlign w:val="center"/>
            <w:hideMark/>
          </w:tcPr>
          <w:p w14:paraId="6A5C821C"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Response is acceptable but remains basic and could have been expanded upon. Response is sufficient but does not inspire.</w:t>
            </w:r>
          </w:p>
        </w:tc>
      </w:tr>
      <w:tr w:rsidR="00AF5641" w:rsidRPr="00AF5641" w14:paraId="5BFE4D91" w14:textId="77777777" w:rsidTr="00887C35">
        <w:trPr>
          <w:trHeight w:val="74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D8A244"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t>80</w:t>
            </w:r>
          </w:p>
        </w:tc>
        <w:tc>
          <w:tcPr>
            <w:tcW w:w="0" w:type="auto"/>
            <w:tcBorders>
              <w:top w:val="nil"/>
              <w:left w:val="nil"/>
              <w:bottom w:val="single" w:sz="4" w:space="0" w:color="auto"/>
              <w:right w:val="single" w:sz="4" w:space="0" w:color="auto"/>
            </w:tcBorders>
            <w:shd w:val="clear" w:color="auto" w:fill="auto"/>
            <w:vAlign w:val="center"/>
            <w:hideMark/>
          </w:tcPr>
          <w:p w14:paraId="39D5D94E"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Good response which describes their capabilities in detail which provides high levels of assurance consistent with a quality provider. The response includes a full description of techniques and measurements currently employed.</w:t>
            </w:r>
          </w:p>
        </w:tc>
      </w:tr>
      <w:tr w:rsidR="00AF5641" w:rsidRPr="00AF5641" w14:paraId="63899FD4" w14:textId="77777777" w:rsidTr="00887C35">
        <w:trPr>
          <w:trHeight w:val="10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F29169" w14:textId="77777777" w:rsidR="00AF5641" w:rsidRPr="00AF5641" w:rsidRDefault="00AF5641" w:rsidP="00AF5641">
            <w:pPr>
              <w:spacing w:after="0"/>
              <w:jc w:val="center"/>
              <w:rPr>
                <w:rFonts w:ascii="Verdana" w:hAnsi="Verdana"/>
                <w:color w:val="000000"/>
                <w:szCs w:val="22"/>
                <w:lang w:eastAsia="en-GB"/>
              </w:rPr>
            </w:pPr>
            <w:r w:rsidRPr="00AF5641">
              <w:rPr>
                <w:rFonts w:ascii="Verdana" w:hAnsi="Verdana"/>
                <w:color w:val="000000"/>
                <w:szCs w:val="22"/>
                <w:lang w:eastAsia="en-GB"/>
              </w:rPr>
              <w:lastRenderedPageBreak/>
              <w:t>100</w:t>
            </w:r>
          </w:p>
        </w:tc>
        <w:tc>
          <w:tcPr>
            <w:tcW w:w="0" w:type="auto"/>
            <w:tcBorders>
              <w:top w:val="nil"/>
              <w:left w:val="nil"/>
              <w:bottom w:val="single" w:sz="4" w:space="0" w:color="auto"/>
              <w:right w:val="single" w:sz="4" w:space="0" w:color="auto"/>
            </w:tcBorders>
            <w:shd w:val="clear" w:color="auto" w:fill="auto"/>
            <w:vAlign w:val="center"/>
            <w:hideMark/>
          </w:tcPr>
          <w:p w14:paraId="05C14BE7" w14:textId="77777777" w:rsidR="00AF5641" w:rsidRPr="00AF5641" w:rsidRDefault="00AF5641" w:rsidP="00AF5641">
            <w:pPr>
              <w:spacing w:after="0"/>
              <w:rPr>
                <w:rFonts w:ascii="Verdana" w:hAnsi="Verdana"/>
                <w:color w:val="000000"/>
                <w:szCs w:val="22"/>
                <w:lang w:eastAsia="en-GB"/>
              </w:rPr>
            </w:pPr>
            <w:r w:rsidRPr="00AF5641">
              <w:rPr>
                <w:rFonts w:ascii="Verdana" w:hAnsi="Verdana"/>
                <w:color w:val="000000"/>
                <w:szCs w:val="22"/>
                <w:lang w:eastAsia="en-GB"/>
              </w:rPr>
              <w:t>Response is exceptional and clearly demonstrates they are capable of meeting the requirement. No significant weaknesses noted. The response is compelling in its description of techniques and measurements currently employed, providing full assurance consistent with a quality provider.</w:t>
            </w:r>
          </w:p>
        </w:tc>
      </w:tr>
    </w:tbl>
    <w:p w14:paraId="279C2E29" w14:textId="2B7147B4" w:rsidR="00AF5641" w:rsidRDefault="00AF5641" w:rsidP="00887C35">
      <w:pPr>
        <w:pStyle w:val="Bullet"/>
      </w:pPr>
    </w:p>
    <w:p w14:paraId="33D88D5F" w14:textId="77777777" w:rsidR="00AF5641" w:rsidRPr="00D612AE" w:rsidRDefault="00AF5641" w:rsidP="00887C35">
      <w:pPr>
        <w:pStyle w:val="Bullet"/>
      </w:pPr>
    </w:p>
    <w:p w14:paraId="4301058E" w14:textId="77777777" w:rsidR="00584788" w:rsidRPr="00887C35" w:rsidRDefault="00742573" w:rsidP="00584788">
      <w:pPr>
        <w:pStyle w:val="Heading2"/>
        <w:numPr>
          <w:ilvl w:val="1"/>
          <w:numId w:val="14"/>
        </w:numPr>
        <w:rPr>
          <w:b/>
          <w:szCs w:val="24"/>
        </w:rPr>
      </w:pPr>
      <w:r>
        <w:rPr>
          <w:b/>
          <w:szCs w:val="24"/>
        </w:rPr>
        <w:t xml:space="preserve">Boat and </w:t>
      </w:r>
      <w:r w:rsidRPr="00887C35">
        <w:rPr>
          <w:b/>
          <w:szCs w:val="24"/>
        </w:rPr>
        <w:t>engine w</w:t>
      </w:r>
      <w:r w:rsidR="00584788" w:rsidRPr="00887C35">
        <w:rPr>
          <w:b/>
          <w:szCs w:val="24"/>
        </w:rPr>
        <w:t>arranty</w:t>
      </w:r>
      <w:r w:rsidR="00A0650F" w:rsidRPr="00887C35">
        <w:rPr>
          <w:b/>
          <w:szCs w:val="24"/>
        </w:rPr>
        <w:t xml:space="preserve"> </w:t>
      </w:r>
    </w:p>
    <w:p w14:paraId="193EEEE8" w14:textId="77777777" w:rsidR="00D612AE" w:rsidRPr="00887C35" w:rsidRDefault="00C852CF" w:rsidP="00AC6BBF">
      <w:pPr>
        <w:pStyle w:val="Bullet"/>
        <w:numPr>
          <w:ilvl w:val="2"/>
          <w:numId w:val="14"/>
        </w:numPr>
        <w:tabs>
          <w:tab w:val="num" w:pos="1418"/>
        </w:tabs>
        <w:ind w:left="1418" w:hanging="709"/>
      </w:pPr>
      <w:r w:rsidRPr="00887C35">
        <w:t xml:space="preserve">Tenderers </w:t>
      </w:r>
      <w:r w:rsidR="00584788" w:rsidRPr="00887C35">
        <w:t>shall confirm the warranty period offered for the vessel</w:t>
      </w:r>
      <w:r w:rsidR="00742573" w:rsidRPr="00887C35">
        <w:t xml:space="preserve"> and the engine</w:t>
      </w:r>
      <w:r w:rsidR="00584788" w:rsidRPr="00887C35">
        <w:t xml:space="preserve"> from the following </w:t>
      </w:r>
      <w:r w:rsidR="005975EE" w:rsidRPr="00887C35">
        <w:rPr>
          <w:b/>
        </w:rPr>
        <w:t>(</w:t>
      </w:r>
      <w:r w:rsidR="00584788" w:rsidRPr="00887C35">
        <w:rPr>
          <w:b/>
        </w:rPr>
        <w:t>5</w:t>
      </w:r>
      <w:r w:rsidR="005975EE" w:rsidRPr="00887C35">
        <w:rPr>
          <w:b/>
        </w:rPr>
        <w:t>%)</w:t>
      </w:r>
      <w:r w:rsidR="00584788" w:rsidRPr="00887C35">
        <w:t>:</w:t>
      </w:r>
    </w:p>
    <w:p w14:paraId="1E5FF75A" w14:textId="77777777" w:rsidR="00D612AE" w:rsidRPr="00887C35" w:rsidRDefault="00D612AE" w:rsidP="00AC6BBF">
      <w:pPr>
        <w:pStyle w:val="Bullet"/>
        <w:numPr>
          <w:ilvl w:val="2"/>
          <w:numId w:val="14"/>
        </w:numPr>
        <w:tabs>
          <w:tab w:val="num" w:pos="1418"/>
        </w:tabs>
        <w:ind w:left="1418" w:hanging="709"/>
      </w:pPr>
      <w:r w:rsidRPr="00887C35">
        <w:t>Any warranty repairs should be carried out on site</w:t>
      </w:r>
      <w:r w:rsidR="00472C2C" w:rsidRPr="00887C35">
        <w:t>.</w:t>
      </w:r>
    </w:p>
    <w:p w14:paraId="62A0EC98" w14:textId="77777777" w:rsidR="00584788" w:rsidRDefault="00584788" w:rsidP="00D612AE">
      <w:pPr>
        <w:pStyle w:val="Bullet"/>
        <w:ind w:left="1418"/>
      </w:pPr>
      <w:r>
        <w:tab/>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885"/>
        <w:gridCol w:w="850"/>
      </w:tblGrid>
      <w:tr w:rsidR="00D612AE" w14:paraId="7DC2FDA1" w14:textId="77777777" w:rsidTr="00D612AE">
        <w:tc>
          <w:tcPr>
            <w:tcW w:w="3777" w:type="dxa"/>
            <w:shd w:val="clear" w:color="auto" w:fill="8EAADB"/>
          </w:tcPr>
          <w:p w14:paraId="52A16633" w14:textId="77777777" w:rsidR="00D612AE" w:rsidRDefault="00D612AE" w:rsidP="00584788">
            <w:pPr>
              <w:pStyle w:val="Bullet"/>
            </w:pPr>
            <w:r>
              <w:t>Duration of Warranty (vessel)</w:t>
            </w:r>
          </w:p>
        </w:tc>
        <w:tc>
          <w:tcPr>
            <w:tcW w:w="2885" w:type="dxa"/>
            <w:shd w:val="clear" w:color="auto" w:fill="8EAADB"/>
          </w:tcPr>
          <w:p w14:paraId="14DA8A59" w14:textId="77777777" w:rsidR="00D612AE" w:rsidRDefault="00D612AE" w:rsidP="00D612AE">
            <w:pPr>
              <w:pStyle w:val="Bullet"/>
            </w:pPr>
            <w:r>
              <w:t>Duration of Warranty (engine)</w:t>
            </w:r>
          </w:p>
        </w:tc>
        <w:tc>
          <w:tcPr>
            <w:tcW w:w="850" w:type="dxa"/>
            <w:shd w:val="clear" w:color="auto" w:fill="8EAADB"/>
          </w:tcPr>
          <w:p w14:paraId="1EFA2750" w14:textId="77777777" w:rsidR="00D612AE" w:rsidRDefault="00D612AE" w:rsidP="00584788">
            <w:pPr>
              <w:pStyle w:val="Bullet"/>
            </w:pPr>
            <w:r>
              <w:t xml:space="preserve">Score </w:t>
            </w:r>
          </w:p>
        </w:tc>
      </w:tr>
      <w:tr w:rsidR="00D612AE" w14:paraId="0F234326" w14:textId="77777777" w:rsidTr="00D612AE">
        <w:tc>
          <w:tcPr>
            <w:tcW w:w="3777" w:type="dxa"/>
            <w:shd w:val="clear" w:color="auto" w:fill="auto"/>
          </w:tcPr>
          <w:p w14:paraId="3C88F3F6" w14:textId="77777777" w:rsidR="00D612AE" w:rsidRDefault="00D612AE" w:rsidP="00D612AE">
            <w:pPr>
              <w:pStyle w:val="Bullet"/>
            </w:pPr>
            <w:r>
              <w:t>Greater than 10 years</w:t>
            </w:r>
          </w:p>
        </w:tc>
        <w:tc>
          <w:tcPr>
            <w:tcW w:w="2885" w:type="dxa"/>
          </w:tcPr>
          <w:p w14:paraId="6D04028D" w14:textId="77777777" w:rsidR="00D612AE" w:rsidRDefault="00D612AE" w:rsidP="00D612AE">
            <w:pPr>
              <w:pStyle w:val="Bullet"/>
            </w:pPr>
            <w:r>
              <w:t>Greater than 10 years</w:t>
            </w:r>
          </w:p>
        </w:tc>
        <w:tc>
          <w:tcPr>
            <w:tcW w:w="850" w:type="dxa"/>
            <w:shd w:val="clear" w:color="auto" w:fill="auto"/>
          </w:tcPr>
          <w:p w14:paraId="4DE2C16D" w14:textId="77777777" w:rsidR="00D612AE" w:rsidRDefault="00D612AE" w:rsidP="00D612AE">
            <w:pPr>
              <w:pStyle w:val="Bullet"/>
            </w:pPr>
            <w:r>
              <w:t>100%</w:t>
            </w:r>
          </w:p>
        </w:tc>
      </w:tr>
      <w:tr w:rsidR="00D612AE" w14:paraId="3FFE7461" w14:textId="77777777" w:rsidTr="00D612AE">
        <w:tc>
          <w:tcPr>
            <w:tcW w:w="3777" w:type="dxa"/>
            <w:shd w:val="clear" w:color="auto" w:fill="auto"/>
          </w:tcPr>
          <w:p w14:paraId="56D3C665" w14:textId="77777777" w:rsidR="00D612AE" w:rsidRDefault="00D612AE" w:rsidP="00D612AE">
            <w:pPr>
              <w:pStyle w:val="Bullet"/>
            </w:pPr>
            <w:r>
              <w:t>10 Years</w:t>
            </w:r>
          </w:p>
        </w:tc>
        <w:tc>
          <w:tcPr>
            <w:tcW w:w="2885" w:type="dxa"/>
          </w:tcPr>
          <w:p w14:paraId="156EF65F" w14:textId="77777777" w:rsidR="00D612AE" w:rsidRDefault="00D612AE" w:rsidP="00D612AE">
            <w:pPr>
              <w:pStyle w:val="Bullet"/>
            </w:pPr>
            <w:r>
              <w:t>10 Years</w:t>
            </w:r>
          </w:p>
        </w:tc>
        <w:tc>
          <w:tcPr>
            <w:tcW w:w="850" w:type="dxa"/>
            <w:shd w:val="clear" w:color="auto" w:fill="auto"/>
          </w:tcPr>
          <w:p w14:paraId="5CEE60A5" w14:textId="77777777" w:rsidR="00D612AE" w:rsidRDefault="00D612AE" w:rsidP="00D612AE">
            <w:pPr>
              <w:pStyle w:val="Bullet"/>
            </w:pPr>
            <w:r>
              <w:t>95%</w:t>
            </w:r>
          </w:p>
        </w:tc>
      </w:tr>
      <w:tr w:rsidR="00D612AE" w14:paraId="11AD07EF" w14:textId="77777777" w:rsidTr="00D612AE">
        <w:tc>
          <w:tcPr>
            <w:tcW w:w="3777" w:type="dxa"/>
            <w:shd w:val="clear" w:color="auto" w:fill="auto"/>
          </w:tcPr>
          <w:p w14:paraId="1FC3904C" w14:textId="77777777" w:rsidR="00D612AE" w:rsidRDefault="00D612AE" w:rsidP="00D612AE">
            <w:pPr>
              <w:pStyle w:val="Bullet"/>
            </w:pPr>
            <w:r>
              <w:t>9 Years</w:t>
            </w:r>
          </w:p>
        </w:tc>
        <w:tc>
          <w:tcPr>
            <w:tcW w:w="2885" w:type="dxa"/>
          </w:tcPr>
          <w:p w14:paraId="2C836C08" w14:textId="77777777" w:rsidR="00D612AE" w:rsidRDefault="00D612AE" w:rsidP="00D612AE">
            <w:pPr>
              <w:pStyle w:val="Bullet"/>
            </w:pPr>
            <w:r>
              <w:t>9 Years</w:t>
            </w:r>
          </w:p>
        </w:tc>
        <w:tc>
          <w:tcPr>
            <w:tcW w:w="850" w:type="dxa"/>
            <w:shd w:val="clear" w:color="auto" w:fill="auto"/>
          </w:tcPr>
          <w:p w14:paraId="48D44021" w14:textId="77777777" w:rsidR="00D612AE" w:rsidRDefault="00D612AE" w:rsidP="00D612AE">
            <w:pPr>
              <w:pStyle w:val="Bullet"/>
            </w:pPr>
            <w:r>
              <w:t>90%</w:t>
            </w:r>
          </w:p>
        </w:tc>
      </w:tr>
      <w:tr w:rsidR="00D612AE" w14:paraId="1A318397" w14:textId="77777777" w:rsidTr="00D612AE">
        <w:tc>
          <w:tcPr>
            <w:tcW w:w="3777" w:type="dxa"/>
            <w:shd w:val="clear" w:color="auto" w:fill="auto"/>
          </w:tcPr>
          <w:p w14:paraId="36161C6A" w14:textId="77777777" w:rsidR="00D612AE" w:rsidRDefault="00D612AE" w:rsidP="00D612AE">
            <w:pPr>
              <w:pStyle w:val="Bullet"/>
            </w:pPr>
            <w:r>
              <w:t xml:space="preserve">8 Years </w:t>
            </w:r>
          </w:p>
        </w:tc>
        <w:tc>
          <w:tcPr>
            <w:tcW w:w="2885" w:type="dxa"/>
          </w:tcPr>
          <w:p w14:paraId="094CD804" w14:textId="77777777" w:rsidR="00D612AE" w:rsidRDefault="00D612AE" w:rsidP="00D612AE">
            <w:pPr>
              <w:pStyle w:val="Bullet"/>
            </w:pPr>
            <w:r>
              <w:t xml:space="preserve">8 Years </w:t>
            </w:r>
          </w:p>
        </w:tc>
        <w:tc>
          <w:tcPr>
            <w:tcW w:w="850" w:type="dxa"/>
            <w:shd w:val="clear" w:color="auto" w:fill="auto"/>
          </w:tcPr>
          <w:p w14:paraId="6407CC32" w14:textId="77777777" w:rsidR="00D612AE" w:rsidRDefault="00D612AE" w:rsidP="00D612AE">
            <w:pPr>
              <w:pStyle w:val="Bullet"/>
            </w:pPr>
            <w:r>
              <w:t>80%</w:t>
            </w:r>
          </w:p>
        </w:tc>
      </w:tr>
      <w:tr w:rsidR="00D612AE" w14:paraId="63B24722" w14:textId="77777777" w:rsidTr="00D612AE">
        <w:tc>
          <w:tcPr>
            <w:tcW w:w="3777" w:type="dxa"/>
            <w:shd w:val="clear" w:color="auto" w:fill="auto"/>
          </w:tcPr>
          <w:p w14:paraId="78920122" w14:textId="77777777" w:rsidR="00D612AE" w:rsidRDefault="00D612AE" w:rsidP="00D612AE">
            <w:pPr>
              <w:pStyle w:val="Bullet"/>
            </w:pPr>
            <w:r>
              <w:t>7 Years</w:t>
            </w:r>
          </w:p>
        </w:tc>
        <w:tc>
          <w:tcPr>
            <w:tcW w:w="2885" w:type="dxa"/>
          </w:tcPr>
          <w:p w14:paraId="144267EB" w14:textId="77777777" w:rsidR="00D612AE" w:rsidRDefault="00D612AE" w:rsidP="00D612AE">
            <w:pPr>
              <w:pStyle w:val="Bullet"/>
            </w:pPr>
            <w:r>
              <w:t>7 Years</w:t>
            </w:r>
          </w:p>
        </w:tc>
        <w:tc>
          <w:tcPr>
            <w:tcW w:w="850" w:type="dxa"/>
            <w:shd w:val="clear" w:color="auto" w:fill="auto"/>
          </w:tcPr>
          <w:p w14:paraId="529971DF" w14:textId="77777777" w:rsidR="00D612AE" w:rsidRDefault="00D612AE" w:rsidP="00D612AE">
            <w:pPr>
              <w:pStyle w:val="Bullet"/>
            </w:pPr>
            <w:r>
              <w:t>70%</w:t>
            </w:r>
          </w:p>
        </w:tc>
      </w:tr>
      <w:tr w:rsidR="00D612AE" w14:paraId="283F89FC" w14:textId="77777777" w:rsidTr="00D612AE">
        <w:tc>
          <w:tcPr>
            <w:tcW w:w="3777" w:type="dxa"/>
            <w:shd w:val="clear" w:color="auto" w:fill="auto"/>
          </w:tcPr>
          <w:p w14:paraId="495FDC5C" w14:textId="77777777" w:rsidR="00D612AE" w:rsidRDefault="00D612AE" w:rsidP="00D612AE">
            <w:pPr>
              <w:pStyle w:val="Bullet"/>
            </w:pPr>
            <w:r>
              <w:t xml:space="preserve">6 Years </w:t>
            </w:r>
          </w:p>
        </w:tc>
        <w:tc>
          <w:tcPr>
            <w:tcW w:w="2885" w:type="dxa"/>
          </w:tcPr>
          <w:p w14:paraId="7D959CAB" w14:textId="77777777" w:rsidR="00D612AE" w:rsidRDefault="00D612AE" w:rsidP="00D612AE">
            <w:pPr>
              <w:pStyle w:val="Bullet"/>
            </w:pPr>
            <w:r>
              <w:t xml:space="preserve">6 Years </w:t>
            </w:r>
          </w:p>
        </w:tc>
        <w:tc>
          <w:tcPr>
            <w:tcW w:w="850" w:type="dxa"/>
            <w:shd w:val="clear" w:color="auto" w:fill="auto"/>
          </w:tcPr>
          <w:p w14:paraId="6FA857DC" w14:textId="77777777" w:rsidR="00D612AE" w:rsidRDefault="00D612AE" w:rsidP="00D612AE">
            <w:pPr>
              <w:pStyle w:val="Bullet"/>
            </w:pPr>
            <w:r>
              <w:t>60%</w:t>
            </w:r>
          </w:p>
        </w:tc>
      </w:tr>
      <w:tr w:rsidR="00D612AE" w14:paraId="5F12F902" w14:textId="77777777" w:rsidTr="00D612AE">
        <w:tc>
          <w:tcPr>
            <w:tcW w:w="3777" w:type="dxa"/>
            <w:shd w:val="clear" w:color="auto" w:fill="auto"/>
          </w:tcPr>
          <w:p w14:paraId="289D5427" w14:textId="77777777" w:rsidR="00D612AE" w:rsidRDefault="00D612AE" w:rsidP="00D612AE">
            <w:pPr>
              <w:pStyle w:val="Bullet"/>
            </w:pPr>
            <w:r>
              <w:t xml:space="preserve">5 Years </w:t>
            </w:r>
          </w:p>
        </w:tc>
        <w:tc>
          <w:tcPr>
            <w:tcW w:w="2885" w:type="dxa"/>
          </w:tcPr>
          <w:p w14:paraId="36B21A36" w14:textId="77777777" w:rsidR="00D612AE" w:rsidRDefault="00D612AE" w:rsidP="00D612AE">
            <w:pPr>
              <w:pStyle w:val="Bullet"/>
            </w:pPr>
            <w:r>
              <w:t xml:space="preserve">5 Years </w:t>
            </w:r>
          </w:p>
        </w:tc>
        <w:tc>
          <w:tcPr>
            <w:tcW w:w="850" w:type="dxa"/>
            <w:shd w:val="clear" w:color="auto" w:fill="auto"/>
          </w:tcPr>
          <w:p w14:paraId="69A44C60" w14:textId="77777777" w:rsidR="00D612AE" w:rsidRDefault="00D612AE" w:rsidP="00D612AE">
            <w:pPr>
              <w:pStyle w:val="Bullet"/>
            </w:pPr>
            <w:r>
              <w:t>50%</w:t>
            </w:r>
          </w:p>
        </w:tc>
      </w:tr>
      <w:tr w:rsidR="00D612AE" w14:paraId="17137524" w14:textId="77777777" w:rsidTr="00D612AE">
        <w:tc>
          <w:tcPr>
            <w:tcW w:w="3777" w:type="dxa"/>
            <w:shd w:val="clear" w:color="auto" w:fill="auto"/>
          </w:tcPr>
          <w:p w14:paraId="75E79E69" w14:textId="77777777" w:rsidR="00D612AE" w:rsidRDefault="00D612AE" w:rsidP="00D612AE">
            <w:pPr>
              <w:pStyle w:val="Bullet"/>
            </w:pPr>
            <w:r>
              <w:t>4 Years</w:t>
            </w:r>
          </w:p>
        </w:tc>
        <w:tc>
          <w:tcPr>
            <w:tcW w:w="2885" w:type="dxa"/>
          </w:tcPr>
          <w:p w14:paraId="51B5166F" w14:textId="77777777" w:rsidR="00D612AE" w:rsidRDefault="00D612AE" w:rsidP="00D612AE">
            <w:pPr>
              <w:pStyle w:val="Bullet"/>
            </w:pPr>
            <w:r>
              <w:t>4 Years</w:t>
            </w:r>
          </w:p>
        </w:tc>
        <w:tc>
          <w:tcPr>
            <w:tcW w:w="850" w:type="dxa"/>
            <w:shd w:val="clear" w:color="auto" w:fill="auto"/>
          </w:tcPr>
          <w:p w14:paraId="2B2A7691" w14:textId="77777777" w:rsidR="00D612AE" w:rsidRDefault="00D612AE" w:rsidP="00D612AE">
            <w:pPr>
              <w:pStyle w:val="Bullet"/>
            </w:pPr>
            <w:r>
              <w:t>40%</w:t>
            </w:r>
          </w:p>
        </w:tc>
      </w:tr>
      <w:tr w:rsidR="00D612AE" w14:paraId="24C55A61" w14:textId="77777777" w:rsidTr="00D612AE">
        <w:tc>
          <w:tcPr>
            <w:tcW w:w="3777" w:type="dxa"/>
            <w:shd w:val="clear" w:color="auto" w:fill="auto"/>
          </w:tcPr>
          <w:p w14:paraId="60819F19" w14:textId="77777777" w:rsidR="00D612AE" w:rsidRDefault="00D612AE" w:rsidP="00D612AE">
            <w:pPr>
              <w:pStyle w:val="Bullet"/>
            </w:pPr>
            <w:r>
              <w:t>3 Years</w:t>
            </w:r>
          </w:p>
        </w:tc>
        <w:tc>
          <w:tcPr>
            <w:tcW w:w="2885" w:type="dxa"/>
          </w:tcPr>
          <w:p w14:paraId="67C164B0" w14:textId="77777777" w:rsidR="00D612AE" w:rsidRDefault="00D612AE" w:rsidP="00D612AE">
            <w:pPr>
              <w:pStyle w:val="Bullet"/>
            </w:pPr>
            <w:r>
              <w:t>3 Years</w:t>
            </w:r>
          </w:p>
        </w:tc>
        <w:tc>
          <w:tcPr>
            <w:tcW w:w="850" w:type="dxa"/>
            <w:shd w:val="clear" w:color="auto" w:fill="auto"/>
          </w:tcPr>
          <w:p w14:paraId="01408F47" w14:textId="77777777" w:rsidR="00D612AE" w:rsidRDefault="00D612AE" w:rsidP="00D612AE">
            <w:pPr>
              <w:pStyle w:val="Bullet"/>
            </w:pPr>
            <w:r>
              <w:t>30%</w:t>
            </w:r>
          </w:p>
        </w:tc>
      </w:tr>
      <w:tr w:rsidR="00D612AE" w14:paraId="19B3A2A6" w14:textId="77777777" w:rsidTr="00D612AE">
        <w:tc>
          <w:tcPr>
            <w:tcW w:w="3777" w:type="dxa"/>
            <w:shd w:val="clear" w:color="auto" w:fill="auto"/>
          </w:tcPr>
          <w:p w14:paraId="42290EEF" w14:textId="77777777" w:rsidR="00D612AE" w:rsidRDefault="00D612AE" w:rsidP="00D612AE">
            <w:pPr>
              <w:pStyle w:val="Bullet"/>
            </w:pPr>
            <w:r>
              <w:t>2 Years</w:t>
            </w:r>
          </w:p>
        </w:tc>
        <w:tc>
          <w:tcPr>
            <w:tcW w:w="2885" w:type="dxa"/>
          </w:tcPr>
          <w:p w14:paraId="3C2EC80B" w14:textId="77777777" w:rsidR="00D612AE" w:rsidRDefault="00D612AE" w:rsidP="00D612AE">
            <w:pPr>
              <w:pStyle w:val="Bullet"/>
            </w:pPr>
            <w:r>
              <w:t>2 Years</w:t>
            </w:r>
          </w:p>
        </w:tc>
        <w:tc>
          <w:tcPr>
            <w:tcW w:w="850" w:type="dxa"/>
            <w:shd w:val="clear" w:color="auto" w:fill="auto"/>
          </w:tcPr>
          <w:p w14:paraId="69BD2EA7" w14:textId="77777777" w:rsidR="00D612AE" w:rsidRDefault="00D612AE" w:rsidP="00D612AE">
            <w:pPr>
              <w:pStyle w:val="Bullet"/>
            </w:pPr>
            <w:r>
              <w:t>20%</w:t>
            </w:r>
          </w:p>
        </w:tc>
      </w:tr>
      <w:tr w:rsidR="00D612AE" w14:paraId="5088C69B" w14:textId="77777777" w:rsidTr="00D612AE">
        <w:tc>
          <w:tcPr>
            <w:tcW w:w="3777" w:type="dxa"/>
            <w:shd w:val="clear" w:color="auto" w:fill="auto"/>
          </w:tcPr>
          <w:p w14:paraId="1B7375F3" w14:textId="77777777" w:rsidR="00D612AE" w:rsidRDefault="00D612AE" w:rsidP="00D612AE">
            <w:pPr>
              <w:pStyle w:val="Bullet"/>
            </w:pPr>
            <w:r>
              <w:t>1 Year</w:t>
            </w:r>
          </w:p>
        </w:tc>
        <w:tc>
          <w:tcPr>
            <w:tcW w:w="2885" w:type="dxa"/>
          </w:tcPr>
          <w:p w14:paraId="3780B53B" w14:textId="77777777" w:rsidR="00D612AE" w:rsidRDefault="00D612AE" w:rsidP="00D612AE">
            <w:pPr>
              <w:pStyle w:val="Bullet"/>
            </w:pPr>
            <w:r>
              <w:t>1 Year</w:t>
            </w:r>
          </w:p>
        </w:tc>
        <w:tc>
          <w:tcPr>
            <w:tcW w:w="850" w:type="dxa"/>
            <w:shd w:val="clear" w:color="auto" w:fill="auto"/>
          </w:tcPr>
          <w:p w14:paraId="5FB57CFC" w14:textId="77777777" w:rsidR="00D612AE" w:rsidRDefault="00D612AE" w:rsidP="00D612AE">
            <w:pPr>
              <w:pStyle w:val="Bullet"/>
            </w:pPr>
            <w:r>
              <w:t>5%</w:t>
            </w:r>
          </w:p>
        </w:tc>
      </w:tr>
    </w:tbl>
    <w:p w14:paraId="2A381A34" w14:textId="77777777" w:rsidR="00742573" w:rsidRDefault="00742573" w:rsidP="00472C2C">
      <w:pPr>
        <w:pStyle w:val="Bullet"/>
      </w:pPr>
    </w:p>
    <w:p w14:paraId="4551F3F7" w14:textId="77777777" w:rsidR="005975EE" w:rsidRPr="005975EE" w:rsidRDefault="00AC6BBF" w:rsidP="005975EE">
      <w:pPr>
        <w:pStyle w:val="Bullet"/>
        <w:ind w:left="1440"/>
        <w:rPr>
          <w:b/>
        </w:rPr>
      </w:pPr>
      <w:r w:rsidRPr="00887C35">
        <w:rPr>
          <w:b/>
        </w:rPr>
        <w:t>Total – 5</w:t>
      </w:r>
      <w:r w:rsidR="005975EE" w:rsidRPr="00887C35">
        <w:rPr>
          <w:b/>
        </w:rPr>
        <w:t>%</w:t>
      </w:r>
    </w:p>
    <w:p w14:paraId="7409119C" w14:textId="10BE036D" w:rsidR="00C852CF" w:rsidRDefault="00C852CF" w:rsidP="000B0C83">
      <w:pPr>
        <w:pStyle w:val="Heading2"/>
        <w:numPr>
          <w:ilvl w:val="1"/>
          <w:numId w:val="14"/>
        </w:numPr>
        <w:rPr>
          <w:b/>
          <w:szCs w:val="24"/>
        </w:rPr>
      </w:pPr>
      <w:r w:rsidRPr="00870EF6">
        <w:rPr>
          <w:b/>
          <w:szCs w:val="24"/>
        </w:rPr>
        <w:t>Cost</w:t>
      </w:r>
      <w:r w:rsidR="00637C2F">
        <w:rPr>
          <w:b/>
          <w:szCs w:val="24"/>
        </w:rPr>
        <w:t xml:space="preserve"> </w:t>
      </w:r>
    </w:p>
    <w:p w14:paraId="64961522" w14:textId="77777777" w:rsidR="00144E6A" w:rsidRPr="00887C35" w:rsidRDefault="00144E6A" w:rsidP="00887C35"/>
    <w:p w14:paraId="68AD8636" w14:textId="0274EF37" w:rsidR="0019744E" w:rsidRPr="0019744E" w:rsidRDefault="0019744E" w:rsidP="00887C35">
      <w:pPr>
        <w:pStyle w:val="Bullet"/>
        <w:numPr>
          <w:ilvl w:val="2"/>
          <w:numId w:val="14"/>
        </w:numPr>
      </w:pPr>
      <w:r w:rsidRPr="0019744E">
        <w:t>Tenderers should complete the table supplied in Annex B (</w:t>
      </w:r>
      <w:proofErr w:type="spellStart"/>
      <w:r w:rsidRPr="0019744E">
        <w:t>IoS</w:t>
      </w:r>
      <w:proofErr w:type="spellEnd"/>
      <w:r w:rsidRPr="0019744E">
        <w:t xml:space="preserve"> IFCA Boat Specification and Pricing v1) detailing a cost associated to each specification and where applicable the supplied items manufacturer and model number. Tenderers should note that the Authority may reject any tender which does not complete the aforementioned document </w:t>
      </w:r>
      <w:r w:rsidRPr="00887C35">
        <w:rPr>
          <w:b/>
        </w:rPr>
        <w:t>(40%)</w:t>
      </w:r>
      <w:r w:rsidRPr="0019744E">
        <w:t>.</w:t>
      </w:r>
    </w:p>
    <w:p w14:paraId="02EC3401" w14:textId="692C6F0F" w:rsidR="00144E6A" w:rsidRDefault="00144E6A" w:rsidP="00887C35">
      <w:pPr>
        <w:pStyle w:val="Bullet"/>
        <w:ind w:left="1843"/>
      </w:pPr>
      <w:r>
        <w:t>Prices should include all costs associated with the category, but (where relevant) exclude VAT. Tenderers should refer to the brief for further details relating to the cost categories identified in the table.</w:t>
      </w:r>
    </w:p>
    <w:p w14:paraId="792738FA" w14:textId="1A941696" w:rsidR="0019744E" w:rsidRDefault="0019744E" w:rsidP="00887C35">
      <w:pPr>
        <w:pStyle w:val="Bullet"/>
        <w:ind w:left="1843"/>
      </w:pPr>
      <w:r>
        <w:t xml:space="preserve">Tenderers should note that the Authority expects the pricing to include all the costs associated with the tenderers completion of the contract. Tenderers are expected to have used their competencies and skills as a </w:t>
      </w:r>
      <w:r>
        <w:lastRenderedPageBreak/>
        <w:t>diligent contractor in arriving at their price submission and should undertake all necessary due diligence in arriving at a price that includes all the relevant activities for the successful delivery of the contract. No additional fees will be paid where pricing is erroneous as a consequence of contractor’s negligence in undertaking its due diligence</w:t>
      </w:r>
    </w:p>
    <w:p w14:paraId="0D317CBA" w14:textId="5BDCF47D" w:rsidR="00144E6A" w:rsidRDefault="00144E6A" w:rsidP="00887C35">
      <w:pPr>
        <w:pStyle w:val="Bullet"/>
        <w:ind w:left="1843"/>
      </w:pPr>
      <w:r w:rsidRPr="00144E6A">
        <w:t>In their response to this section, tenderers should set out any assumptions that they have made in arriving at their fixed price. Specifically excluded items should also be identified.</w:t>
      </w:r>
    </w:p>
    <w:p w14:paraId="469C5246" w14:textId="157AE453" w:rsidR="001D168B" w:rsidRDefault="001D168B" w:rsidP="00887C35">
      <w:pPr>
        <w:pStyle w:val="Bullet"/>
        <w:ind w:left="1843"/>
      </w:pPr>
      <w:r>
        <w:t>Any additional items identified though due diligence, that will be supplied by the contractor and that have not been listed in the Specification and Pricing Document should be included in the section marked Additional (Bidder)</w:t>
      </w:r>
    </w:p>
    <w:p w14:paraId="7883F2A6" w14:textId="201C3E13" w:rsidR="00144E6A" w:rsidRDefault="00144E6A" w:rsidP="00887C35">
      <w:pPr>
        <w:pStyle w:val="Bullet"/>
        <w:ind w:left="1843"/>
      </w:pPr>
      <w:r w:rsidRPr="00144E6A">
        <w:t>The payment plan is as follows: 30% of total up front, 30% to deck level, 30% at handover and 10% on completion of any post-handover snagging.</w:t>
      </w:r>
    </w:p>
    <w:p w14:paraId="464028B2" w14:textId="26F3D1A1" w:rsidR="00AD1AD3" w:rsidRPr="005975EE" w:rsidRDefault="00AD1AD3" w:rsidP="00AD1AD3">
      <w:pPr>
        <w:pStyle w:val="Bullet"/>
        <w:ind w:left="1440"/>
        <w:rPr>
          <w:b/>
        </w:rPr>
      </w:pPr>
      <w:r w:rsidRPr="00887C35">
        <w:rPr>
          <w:b/>
        </w:rPr>
        <w:t>Total – 40%</w:t>
      </w:r>
    </w:p>
    <w:p w14:paraId="76862FAC" w14:textId="77777777" w:rsidR="00AD1AD3" w:rsidRDefault="00AD1AD3" w:rsidP="00887C35">
      <w:pPr>
        <w:pStyle w:val="Bullet"/>
        <w:ind w:left="1843"/>
      </w:pPr>
    </w:p>
    <w:p w14:paraId="1BDDBBA9" w14:textId="4F6D7095" w:rsidR="0019744E" w:rsidRDefault="0019744E" w:rsidP="00887C35">
      <w:pPr>
        <w:pStyle w:val="Bullet"/>
        <w:rPr>
          <w:b/>
        </w:rPr>
      </w:pPr>
      <w:r w:rsidRPr="00F44A3F">
        <w:rPr>
          <w:b/>
        </w:rPr>
        <w:t>Scoring Methodology:</w:t>
      </w:r>
    </w:p>
    <w:p w14:paraId="247502AF" w14:textId="5D24A49D" w:rsidR="0019744E" w:rsidRDefault="0019744E" w:rsidP="0019744E">
      <w:pPr>
        <w:pStyle w:val="Bullet"/>
        <w:ind w:left="643" w:hanging="360"/>
      </w:pPr>
      <w:r>
        <w:t xml:space="preserve">The Authority will evaluate the Total Fixed Price (Entry in </w:t>
      </w:r>
      <w:r w:rsidR="00AD1AD3">
        <w:t>Annex</w:t>
      </w:r>
      <w:r w:rsidR="00AD1AD3">
        <w:rPr>
          <w:b/>
        </w:rPr>
        <w:t xml:space="preserve"> </w:t>
      </w:r>
      <w:r w:rsidR="00AD1AD3" w:rsidRPr="00887C35">
        <w:t>B</w:t>
      </w:r>
      <w:r>
        <w:t xml:space="preserve">: </w:t>
      </w:r>
      <w:proofErr w:type="spellStart"/>
      <w:r w:rsidR="00AD1AD3" w:rsidRPr="00AD1AD3">
        <w:t>IoS</w:t>
      </w:r>
      <w:proofErr w:type="spellEnd"/>
      <w:r w:rsidR="00AD1AD3" w:rsidRPr="00AD1AD3">
        <w:t xml:space="preserve"> IFCA Boat Specification and Pricing Document v1</w:t>
      </w:r>
      <w:r>
        <w:t xml:space="preserve">) of each provider to determine the Price scores. The Authority uses a graduated mean weighted average system in determining the relative scores awarded. This process is conducted through a spreadsheet formula which operates as follows: </w:t>
      </w:r>
    </w:p>
    <w:p w14:paraId="37F4C792" w14:textId="77777777" w:rsidR="0019744E" w:rsidRDefault="0019744E" w:rsidP="0019744E">
      <w:pPr>
        <w:pStyle w:val="Bullet"/>
        <w:numPr>
          <w:ilvl w:val="0"/>
          <w:numId w:val="19"/>
        </w:numPr>
      </w:pPr>
      <w:r>
        <w:t>All tenderers Price submissions are summed and a mean average price is established.</w:t>
      </w:r>
    </w:p>
    <w:p w14:paraId="4498F744" w14:textId="77777777" w:rsidR="0019744E" w:rsidRDefault="0019744E" w:rsidP="0019744E">
      <w:pPr>
        <w:pStyle w:val="Bullet"/>
        <w:numPr>
          <w:ilvl w:val="0"/>
          <w:numId w:val="19"/>
        </w:numPr>
      </w:pPr>
      <w:r>
        <w:t>The mean average price constitutes the value at which 50% of the available score for price is met. For example, if the mean average of all the prices was £150,000 any individual submission equalling this value would achieve 50% of the Price weighting (in this tender 60%). In this example the score awarded to such a submission would be 30% (50% of a total of 60 = 30%)</w:t>
      </w:r>
    </w:p>
    <w:p w14:paraId="3B52D3A1" w14:textId="77777777" w:rsidR="0019744E" w:rsidRDefault="0019744E" w:rsidP="0019744E">
      <w:pPr>
        <w:pStyle w:val="Bullet"/>
        <w:numPr>
          <w:ilvl w:val="0"/>
          <w:numId w:val="19"/>
        </w:numPr>
      </w:pPr>
      <w:r>
        <w:t>The formula identifies tenderers proximity to this 50% benchmark value and awards, on a graduated basis, relatively higher marks are awarded for those submission whose price is lower than this benchmark (reflecting better price offered to the Authority) and relatively lower marks are awarded for those submissions whose price is higher than this benchmark.</w:t>
      </w:r>
    </w:p>
    <w:p w14:paraId="738D9EDA" w14:textId="77777777" w:rsidR="0019744E" w:rsidRDefault="0019744E" w:rsidP="0019744E">
      <w:pPr>
        <w:pStyle w:val="Bullet"/>
        <w:numPr>
          <w:ilvl w:val="0"/>
          <w:numId w:val="19"/>
        </w:numPr>
      </w:pPr>
      <w:r>
        <w:t>Mathematically the process used can be expressed as</w:t>
      </w:r>
    </w:p>
    <w:p w14:paraId="1B140975" w14:textId="77777777" w:rsidR="0019744E" w:rsidRDefault="0019744E" w:rsidP="0019744E">
      <w:pPr>
        <w:pStyle w:val="Bullet"/>
        <w:numPr>
          <w:ilvl w:val="1"/>
          <w:numId w:val="19"/>
        </w:numPr>
      </w:pPr>
      <w:r>
        <w:t>Mean Average/Price submission *0.5</w:t>
      </w:r>
    </w:p>
    <w:p w14:paraId="6ABB9582" w14:textId="77777777" w:rsidR="0019744E" w:rsidRDefault="0019744E" w:rsidP="0019744E">
      <w:pPr>
        <w:pStyle w:val="Bullet"/>
        <w:numPr>
          <w:ilvl w:val="1"/>
          <w:numId w:val="19"/>
        </w:numPr>
      </w:pPr>
      <w:r>
        <w:t>As an example, two tenders are received and the prices of these tenders are £100,000 and £200,000. This generates a mean average of £150,000. The calculation is applied to the price submission with the following result:</w:t>
      </w:r>
    </w:p>
    <w:p w14:paraId="39638B6C" w14:textId="77777777" w:rsidR="0019744E" w:rsidRDefault="0019744E" w:rsidP="0019744E">
      <w:pPr>
        <w:pStyle w:val="Bullet"/>
        <w:numPr>
          <w:ilvl w:val="2"/>
          <w:numId w:val="19"/>
        </w:numPr>
      </w:pPr>
      <w:r>
        <w:t xml:space="preserve">Tender 1 - 150,000/100,000 *0.5 = 0.75 </w:t>
      </w:r>
    </w:p>
    <w:p w14:paraId="3AE876FE" w14:textId="77777777" w:rsidR="0019744E" w:rsidRDefault="0019744E" w:rsidP="0019744E">
      <w:pPr>
        <w:pStyle w:val="Bullet"/>
        <w:numPr>
          <w:ilvl w:val="2"/>
          <w:numId w:val="19"/>
        </w:numPr>
      </w:pPr>
      <w:r>
        <w:t>Tender 2 – 150,000/200,000 *0.5 = 0.375</w:t>
      </w:r>
    </w:p>
    <w:p w14:paraId="0329B011" w14:textId="77777777" w:rsidR="0019744E" w:rsidRDefault="0019744E" w:rsidP="0019744E">
      <w:pPr>
        <w:pStyle w:val="Bullet"/>
        <w:numPr>
          <w:ilvl w:val="1"/>
          <w:numId w:val="19"/>
        </w:numPr>
      </w:pPr>
      <w:r>
        <w:t xml:space="preserve">The values generated for Tenders 1 and 2 (0.75 and 0.375) are then applied to the overall Price weighting for this section (in this tender 60%) to </w:t>
      </w:r>
      <w:r>
        <w:lastRenderedPageBreak/>
        <w:t xml:space="preserve">generate the final price scores for the respective tenders. This can be expressed mathematically as: </w:t>
      </w:r>
    </w:p>
    <w:p w14:paraId="71541BB8" w14:textId="77777777" w:rsidR="0019744E" w:rsidRDefault="0019744E" w:rsidP="0019744E">
      <w:pPr>
        <w:pStyle w:val="Bullet"/>
        <w:numPr>
          <w:ilvl w:val="2"/>
          <w:numId w:val="19"/>
        </w:numPr>
      </w:pPr>
      <w:r>
        <w:t>Tender 1 – 60% x 0.75 = 45%</w:t>
      </w:r>
    </w:p>
    <w:p w14:paraId="42B84DBE" w14:textId="77777777" w:rsidR="0019744E" w:rsidRDefault="0019744E" w:rsidP="0019744E">
      <w:pPr>
        <w:pStyle w:val="Bullet"/>
        <w:numPr>
          <w:ilvl w:val="2"/>
          <w:numId w:val="19"/>
        </w:numPr>
      </w:pPr>
      <w:r>
        <w:t>Tender 2 – 60% x 0.375 = 22.5%</w:t>
      </w:r>
    </w:p>
    <w:p w14:paraId="338B5228" w14:textId="77777777" w:rsidR="0019744E" w:rsidRDefault="0019744E" w:rsidP="0019744E">
      <w:pPr>
        <w:pStyle w:val="Bullet"/>
        <w:numPr>
          <w:ilvl w:val="1"/>
          <w:numId w:val="19"/>
        </w:numPr>
      </w:pPr>
      <w:r>
        <w:t>For clarity, the final Price score for Tender 1 and 2 are respectively 45% and 22.5%.</w:t>
      </w:r>
    </w:p>
    <w:p w14:paraId="54BCA52A" w14:textId="77777777" w:rsidR="0019744E" w:rsidRPr="005975EE" w:rsidRDefault="0019744E" w:rsidP="005975EE">
      <w:pPr>
        <w:pStyle w:val="Bullet"/>
        <w:ind w:left="540"/>
        <w:rPr>
          <w:b/>
        </w:rPr>
      </w:pPr>
    </w:p>
    <w:p w14:paraId="11642269" w14:textId="77777777" w:rsidR="003A28AB" w:rsidRPr="00CD42C0" w:rsidRDefault="00281219" w:rsidP="00CD42C0">
      <w:pPr>
        <w:pStyle w:val="Heading8"/>
        <w:rPr>
          <w:color w:val="416CBB"/>
        </w:rPr>
      </w:pPr>
      <w:r w:rsidRPr="00CD42C0">
        <w:rPr>
          <w:color w:val="416CBB"/>
        </w:rPr>
        <w:t>Documents to Complete and Sign</w:t>
      </w:r>
    </w:p>
    <w:p w14:paraId="4988E0C6" w14:textId="77777777" w:rsidR="00971FAD" w:rsidRDefault="003A28AB" w:rsidP="000B0C83">
      <w:pPr>
        <w:pStyle w:val="Heading2"/>
        <w:numPr>
          <w:ilvl w:val="1"/>
          <w:numId w:val="14"/>
        </w:numPr>
      </w:pPr>
      <w:r>
        <w:t xml:space="preserve">In </w:t>
      </w:r>
      <w:r w:rsidR="00281219">
        <w:t>addition to providing written</w:t>
      </w:r>
      <w:r>
        <w:t xml:space="preserve"> responses to</w:t>
      </w:r>
      <w:r w:rsidR="00870EF6">
        <w:t xml:space="preserve"> sections</w:t>
      </w:r>
      <w:r>
        <w:t xml:space="preserve"> D1 to D</w:t>
      </w:r>
      <w:r w:rsidR="00AC6BBF">
        <w:t>5</w:t>
      </w:r>
      <w:r>
        <w:t>, the following documents need to be completed and signed.</w:t>
      </w:r>
    </w:p>
    <w:p w14:paraId="1B76DA37" w14:textId="4465179F" w:rsidR="00290BE2" w:rsidRDefault="00290BE2" w:rsidP="00887C35">
      <w:pPr>
        <w:pStyle w:val="ListParagraph"/>
        <w:numPr>
          <w:ilvl w:val="0"/>
          <w:numId w:val="21"/>
        </w:numPr>
        <w:ind w:left="1267"/>
        <w:rPr>
          <w:noProof/>
        </w:rPr>
      </w:pPr>
      <w:r>
        <w:t xml:space="preserve">Annex A - </w:t>
      </w:r>
      <w:r w:rsidR="00971FAD">
        <w:t>Standard Selection Questionnaire</w:t>
      </w:r>
      <w:r>
        <w:t xml:space="preserve"> </w:t>
      </w:r>
      <w:r w:rsidRPr="00290BE2">
        <w:rPr>
          <w:noProof/>
          <w:color w:val="FF0000"/>
        </w:rPr>
        <w:t>(to complete, sign</w:t>
      </w:r>
      <w:r w:rsidR="006A7C4C">
        <w:rPr>
          <w:noProof/>
          <w:color w:val="FF0000"/>
        </w:rPr>
        <w:t xml:space="preserve"> </w:t>
      </w:r>
      <w:r w:rsidRPr="00290BE2">
        <w:rPr>
          <w:noProof/>
          <w:color w:val="FF0000"/>
        </w:rPr>
        <w:t>and return with tender)</w:t>
      </w:r>
    </w:p>
    <w:p w14:paraId="72766A0F" w14:textId="3484D786" w:rsidR="00290BE2" w:rsidRDefault="00290BE2" w:rsidP="00887C35">
      <w:pPr>
        <w:pStyle w:val="ListParagraph"/>
        <w:numPr>
          <w:ilvl w:val="0"/>
          <w:numId w:val="21"/>
        </w:numPr>
        <w:ind w:left="1267"/>
      </w:pPr>
      <w:r>
        <w:t xml:space="preserve">Annex B - </w:t>
      </w:r>
      <w:proofErr w:type="spellStart"/>
      <w:r w:rsidRPr="00290BE2">
        <w:t>IoS</w:t>
      </w:r>
      <w:proofErr w:type="spellEnd"/>
      <w:r w:rsidRPr="00290BE2">
        <w:t xml:space="preserve"> IFCA Boat Specification and Pricing v1</w:t>
      </w:r>
      <w:r>
        <w:t xml:space="preserve"> </w:t>
      </w:r>
      <w:r w:rsidRPr="00F90571">
        <w:rPr>
          <w:noProof/>
          <w:color w:val="FF0000"/>
        </w:rPr>
        <w:t>(to complete, signand return with tender)</w:t>
      </w:r>
    </w:p>
    <w:p w14:paraId="78D5E31A" w14:textId="35245388" w:rsidR="00290BE2" w:rsidRDefault="00290BE2" w:rsidP="00887C35">
      <w:pPr>
        <w:pStyle w:val="ListParagraph"/>
        <w:numPr>
          <w:ilvl w:val="0"/>
          <w:numId w:val="21"/>
        </w:numPr>
        <w:ind w:left="1267"/>
        <w:rPr>
          <w:noProof/>
        </w:rPr>
      </w:pPr>
      <w:r>
        <w:t xml:space="preserve">Annex </w:t>
      </w:r>
      <w:r w:rsidR="008D33EB">
        <w:t>C</w:t>
      </w:r>
      <w:r>
        <w:t xml:space="preserve"> </w:t>
      </w:r>
      <w:r w:rsidR="00971FAD">
        <w:t>Certificate of Bona Fide Tender</w:t>
      </w:r>
      <w:r>
        <w:t xml:space="preserve"> </w:t>
      </w:r>
      <w:r w:rsidRPr="00F90571">
        <w:rPr>
          <w:noProof/>
          <w:color w:val="FF0000"/>
        </w:rPr>
        <w:t>(to complete, sign</w:t>
      </w:r>
      <w:r w:rsidR="006A7C4C">
        <w:rPr>
          <w:noProof/>
          <w:color w:val="FF0000"/>
        </w:rPr>
        <w:t xml:space="preserve"> </w:t>
      </w:r>
      <w:r w:rsidRPr="00F90571">
        <w:rPr>
          <w:noProof/>
          <w:color w:val="FF0000"/>
        </w:rPr>
        <w:t>and return with tender)</w:t>
      </w:r>
    </w:p>
    <w:p w14:paraId="4087325C" w14:textId="1F0521C2" w:rsidR="00971FAD" w:rsidRDefault="00971FAD" w:rsidP="00887C35">
      <w:pPr>
        <w:numPr>
          <w:ilvl w:val="0"/>
          <w:numId w:val="16"/>
        </w:numPr>
        <w:ind w:left="1267"/>
      </w:pPr>
      <w:r>
        <w:t>Acceptance of the terms of conditions of tender and acceptance of the agreement</w:t>
      </w:r>
    </w:p>
    <w:p w14:paraId="22ECCF2B" w14:textId="5F4EB9E5" w:rsidR="00290BE2" w:rsidRPr="00971FAD" w:rsidRDefault="00290BE2" w:rsidP="00887C35">
      <w:pPr>
        <w:pStyle w:val="ListParagraph"/>
        <w:numPr>
          <w:ilvl w:val="0"/>
          <w:numId w:val="16"/>
        </w:numPr>
        <w:ind w:left="1267"/>
      </w:pPr>
      <w:r>
        <w:t xml:space="preserve">Expression of Interest </w:t>
      </w:r>
      <w:proofErr w:type="spellStart"/>
      <w:r>
        <w:t>Proforma</w:t>
      </w:r>
      <w:proofErr w:type="spellEnd"/>
      <w:r>
        <w:t xml:space="preserve"> </w:t>
      </w:r>
      <w:r w:rsidRPr="00290BE2">
        <w:rPr>
          <w:noProof/>
          <w:color w:val="FF0000"/>
        </w:rPr>
        <w:t>(to complete, sign and return as soon as possible)</w:t>
      </w:r>
    </w:p>
    <w:p w14:paraId="1DA3D787" w14:textId="77777777" w:rsidR="00D100B7" w:rsidRPr="00CD42C0" w:rsidRDefault="00D100B7" w:rsidP="00CD42C0">
      <w:pPr>
        <w:pStyle w:val="Heading8"/>
        <w:rPr>
          <w:color w:val="416CBB"/>
        </w:rPr>
      </w:pPr>
      <w:r w:rsidRPr="00CD42C0">
        <w:rPr>
          <w:color w:val="416CBB"/>
        </w:rPr>
        <w:t>Submission of Tenders</w:t>
      </w:r>
    </w:p>
    <w:bookmarkEnd w:id="31"/>
    <w:p w14:paraId="3190234C" w14:textId="77777777" w:rsidR="0015790E" w:rsidRDefault="0015790E" w:rsidP="000B0C83">
      <w:pPr>
        <w:pStyle w:val="Heading2"/>
        <w:numPr>
          <w:ilvl w:val="1"/>
          <w:numId w:val="14"/>
        </w:numPr>
      </w:pPr>
      <w:r>
        <w:t>Date for return of tenders:</w:t>
      </w:r>
    </w:p>
    <w:p w14:paraId="01A6D881" w14:textId="14E66AC8" w:rsidR="0015790E" w:rsidRPr="00382434" w:rsidRDefault="00907FAF" w:rsidP="00CD42C0">
      <w:pPr>
        <w:pStyle w:val="Heading3"/>
        <w:ind w:left="1440"/>
        <w:rPr>
          <w:b/>
        </w:rPr>
      </w:pPr>
      <w:r>
        <w:rPr>
          <w:b/>
        </w:rPr>
        <w:t xml:space="preserve">16:00 </w:t>
      </w:r>
      <w:r w:rsidRPr="00382434">
        <w:rPr>
          <w:b/>
        </w:rPr>
        <w:t>GMT</w:t>
      </w:r>
      <w:r w:rsidR="0015790E" w:rsidRPr="00382434">
        <w:rPr>
          <w:b/>
        </w:rPr>
        <w:t xml:space="preserve"> </w:t>
      </w:r>
      <w:r w:rsidR="00290BE2">
        <w:rPr>
          <w:b/>
        </w:rPr>
        <w:t>30</w:t>
      </w:r>
      <w:r w:rsidR="00290BE2" w:rsidRPr="00225042">
        <w:rPr>
          <w:b/>
          <w:vertAlign w:val="superscript"/>
        </w:rPr>
        <w:t>th</w:t>
      </w:r>
      <w:r w:rsidR="00290BE2">
        <w:rPr>
          <w:b/>
        </w:rPr>
        <w:t xml:space="preserve"> August</w:t>
      </w:r>
      <w:r w:rsidR="00225042">
        <w:rPr>
          <w:b/>
        </w:rPr>
        <w:t xml:space="preserve"> 2018</w:t>
      </w:r>
    </w:p>
    <w:p w14:paraId="78CC81AF" w14:textId="77777777" w:rsidR="00D100B7" w:rsidRPr="00C22F91" w:rsidRDefault="00D100B7" w:rsidP="000B0C83">
      <w:pPr>
        <w:pStyle w:val="Heading2"/>
        <w:numPr>
          <w:ilvl w:val="1"/>
          <w:numId w:val="14"/>
        </w:numPr>
      </w:pPr>
      <w:r w:rsidRPr="00C22F91">
        <w:t>Tenderers must submit:</w:t>
      </w:r>
    </w:p>
    <w:p w14:paraId="589818F3" w14:textId="77777777" w:rsidR="00D100B7" w:rsidRPr="00C22F91" w:rsidRDefault="00D100B7" w:rsidP="000B0C83">
      <w:pPr>
        <w:pStyle w:val="Bullet"/>
        <w:numPr>
          <w:ilvl w:val="0"/>
          <w:numId w:val="11"/>
        </w:numPr>
      </w:pPr>
      <w:r w:rsidRPr="000654AD">
        <w:rPr>
          <w:b/>
        </w:rPr>
        <w:t>one original bound p</w:t>
      </w:r>
      <w:r w:rsidRPr="000B60C8">
        <w:rPr>
          <w:b/>
        </w:rPr>
        <w:t>riced</w:t>
      </w:r>
      <w:r w:rsidRPr="00C22F91">
        <w:t xml:space="preserve"> hard copy of their Tender (clearly marked Master Copy); </w:t>
      </w:r>
    </w:p>
    <w:p w14:paraId="5E0209C0" w14:textId="77777777" w:rsidR="000654AD" w:rsidRPr="00C22F91" w:rsidRDefault="000654AD" w:rsidP="000B0C83">
      <w:pPr>
        <w:pStyle w:val="Bullet"/>
        <w:numPr>
          <w:ilvl w:val="0"/>
          <w:numId w:val="11"/>
        </w:numPr>
      </w:pPr>
      <w:r w:rsidRPr="000654AD">
        <w:rPr>
          <w:b/>
        </w:rPr>
        <w:t>an electronic copy</w:t>
      </w:r>
      <w:r>
        <w:rPr>
          <w:b/>
        </w:rPr>
        <w:t xml:space="preserve"> </w:t>
      </w:r>
      <w:r w:rsidRPr="00C22F91">
        <w:t>of their Tender</w:t>
      </w:r>
      <w:r w:rsidRPr="000654AD">
        <w:rPr>
          <w:b/>
        </w:rPr>
        <w:t>, on either a USB memory stick,</w:t>
      </w:r>
      <w:r>
        <w:t xml:space="preserve"> in an MS word compatible format and/or in .pdf format. A copy of the financial information in response to D4 should also be included in MS Excel. It should be noted that tenders </w:t>
      </w:r>
      <w:r w:rsidRPr="000654AD">
        <w:rPr>
          <w:b/>
        </w:rPr>
        <w:t>cannot</w:t>
      </w:r>
      <w:r>
        <w:t xml:space="preserve"> be submitted by email </w:t>
      </w:r>
    </w:p>
    <w:p w14:paraId="0F3D0509" w14:textId="77777777" w:rsidR="00D100B7" w:rsidRDefault="000654AD" w:rsidP="000B0C83">
      <w:pPr>
        <w:pStyle w:val="Bullet"/>
        <w:numPr>
          <w:ilvl w:val="1"/>
          <w:numId w:val="14"/>
        </w:numPr>
      </w:pPr>
      <w:r w:rsidRPr="00C22F91">
        <w:t>The original and the copies must be provided on A4 paper</w:t>
      </w:r>
      <w:r>
        <w:t xml:space="preserve"> (except where the requirement of the response makes this impractical)</w:t>
      </w:r>
      <w:r w:rsidRPr="00C22F91">
        <w:t xml:space="preserve">, </w:t>
      </w:r>
      <w:r>
        <w:t>single line</w:t>
      </w:r>
      <w:r w:rsidRPr="00C22F91">
        <w:t xml:space="preserve"> spaced, in Arial with a minimum size 11 font</w:t>
      </w:r>
      <w:r>
        <w:t xml:space="preserve"> (or equivalent)</w:t>
      </w:r>
      <w:r w:rsidRPr="00C22F91">
        <w:t xml:space="preserve"> and securely bound and signed by the Tenderer’s authorised representative.</w:t>
      </w:r>
      <w:r w:rsidR="00D100B7" w:rsidRPr="00C22F91">
        <w:t>.</w:t>
      </w:r>
    </w:p>
    <w:p w14:paraId="32F6EE88" w14:textId="77777777" w:rsidR="00C95611" w:rsidRPr="00C22F91" w:rsidRDefault="00C95611" w:rsidP="000B0C83">
      <w:pPr>
        <w:pStyle w:val="Heading2"/>
        <w:numPr>
          <w:ilvl w:val="1"/>
          <w:numId w:val="14"/>
        </w:numPr>
        <w:spacing w:after="240"/>
      </w:pPr>
      <w:r w:rsidRPr="00C22F91">
        <w:t>In line with Government objectives to achieve ISO14001:2004 (Environmental Management Systems), the Authority asks that you do not include any of the following with your Tender:</w:t>
      </w:r>
    </w:p>
    <w:p w14:paraId="46299D17" w14:textId="77777777" w:rsidR="00971FAD" w:rsidRDefault="00C95611" w:rsidP="000B0C83">
      <w:pPr>
        <w:pStyle w:val="Bullet"/>
        <w:numPr>
          <w:ilvl w:val="0"/>
          <w:numId w:val="17"/>
        </w:numPr>
      </w:pPr>
      <w:r w:rsidRPr="00C22F91">
        <w:lastRenderedPageBreak/>
        <w:t xml:space="preserve">Any lever arch folder or ring binder; </w:t>
      </w:r>
    </w:p>
    <w:p w14:paraId="457C5259" w14:textId="77777777" w:rsidR="00C95611" w:rsidRPr="00C22F91" w:rsidRDefault="00C95611" w:rsidP="00470DAD">
      <w:pPr>
        <w:pStyle w:val="Bullet"/>
        <w:numPr>
          <w:ilvl w:val="0"/>
          <w:numId w:val="17"/>
        </w:numPr>
        <w:ind w:left="1560" w:hanging="284"/>
      </w:pPr>
      <w:r w:rsidRPr="00C22F91">
        <w:t>or any extraneous information that has not been specifically requested in the ITT including, for example, sales literature, Tenderers’ sta</w:t>
      </w:r>
      <w:r>
        <w:t>ndard terms and conditions etc.</w:t>
      </w:r>
    </w:p>
    <w:p w14:paraId="4D6FF5C0" w14:textId="77777777" w:rsidR="00D100B7" w:rsidRPr="00C22F91" w:rsidRDefault="00AC6BBF" w:rsidP="000B0C83">
      <w:pPr>
        <w:pStyle w:val="Heading2"/>
        <w:numPr>
          <w:ilvl w:val="1"/>
          <w:numId w:val="14"/>
        </w:numPr>
      </w:pPr>
      <w:r>
        <w:t>Not Used – Please refer to D8</w:t>
      </w:r>
      <w:r w:rsidR="008A5EAC">
        <w:t xml:space="preserve"> bullet po</w:t>
      </w:r>
      <w:r w:rsidR="00971FAD">
        <w:t>int 2</w:t>
      </w:r>
    </w:p>
    <w:p w14:paraId="5B33A349" w14:textId="77777777" w:rsidR="00B92632" w:rsidRPr="00B92632" w:rsidRDefault="00A87D37" w:rsidP="000B0C83">
      <w:pPr>
        <w:pStyle w:val="Heading2"/>
        <w:numPr>
          <w:ilvl w:val="1"/>
          <w:numId w:val="14"/>
        </w:numPr>
        <w:rPr>
          <w:u w:val="single"/>
        </w:rPr>
      </w:pPr>
      <w:r>
        <w:t>The mechanics of Tender submission are set out in paragraphs C.35 to C.38.</w:t>
      </w:r>
    </w:p>
    <w:p w14:paraId="670C0DDF" w14:textId="77777777" w:rsidR="008F3132" w:rsidRPr="00020DAD" w:rsidRDefault="008F3132" w:rsidP="00CD42C0">
      <w:pPr>
        <w:pStyle w:val="Heading8"/>
        <w:rPr>
          <w:color w:val="416CBB"/>
        </w:rPr>
      </w:pPr>
      <w:r w:rsidRPr="00020DAD">
        <w:rPr>
          <w:color w:val="416CBB"/>
        </w:rPr>
        <w:t>Evaluation of Tenders</w:t>
      </w:r>
    </w:p>
    <w:p w14:paraId="547D027F" w14:textId="77777777" w:rsidR="0015790E" w:rsidRPr="008F3132" w:rsidRDefault="0015790E" w:rsidP="000B0C83">
      <w:pPr>
        <w:pStyle w:val="Heading2"/>
        <w:numPr>
          <w:ilvl w:val="1"/>
          <w:numId w:val="14"/>
        </w:numPr>
      </w:pPr>
      <w:r w:rsidRPr="008F3132">
        <w:t>The Tender process will be conducted to ensure that Tenders are evaluated fairly to ascertain the most economically advantageous tender.</w:t>
      </w:r>
    </w:p>
    <w:p w14:paraId="5AD59DD9" w14:textId="1949FEE9" w:rsidR="00A133A8" w:rsidRPr="00A25BB6" w:rsidRDefault="00A133A8" w:rsidP="000B0C83">
      <w:pPr>
        <w:pStyle w:val="Heading2"/>
        <w:numPr>
          <w:ilvl w:val="1"/>
          <w:numId w:val="14"/>
        </w:numPr>
      </w:pPr>
      <w:r>
        <w:t>Following the closing date for receipt of tender, the Authority will evaluate all the tenders</w:t>
      </w:r>
      <w:r w:rsidR="00971FAD">
        <w:t xml:space="preserve"> using the identified methodology in D1 to D5</w:t>
      </w:r>
      <w:r>
        <w:t xml:space="preserve">. </w:t>
      </w:r>
      <w:r w:rsidRPr="00A25BB6">
        <w:t xml:space="preserve">A decision on the appointment is expected to be made </w:t>
      </w:r>
      <w:r w:rsidR="008657B9" w:rsidRPr="00C852CF">
        <w:t>on</w:t>
      </w:r>
      <w:r w:rsidR="00225042">
        <w:rPr>
          <w:b/>
        </w:rPr>
        <w:t xml:space="preserve"> </w:t>
      </w:r>
      <w:r w:rsidR="002D6E28">
        <w:rPr>
          <w:b/>
        </w:rPr>
        <w:t>10</w:t>
      </w:r>
      <w:r w:rsidR="002D6E28" w:rsidRPr="00225042">
        <w:rPr>
          <w:b/>
          <w:vertAlign w:val="superscript"/>
        </w:rPr>
        <w:t>th</w:t>
      </w:r>
      <w:r w:rsidR="002D6E28">
        <w:rPr>
          <w:b/>
        </w:rPr>
        <w:t xml:space="preserve"> </w:t>
      </w:r>
      <w:r w:rsidR="00225042">
        <w:rPr>
          <w:b/>
        </w:rPr>
        <w:t>September 2018</w:t>
      </w:r>
      <w:r w:rsidRPr="00C852CF">
        <w:t>.</w:t>
      </w:r>
    </w:p>
    <w:p w14:paraId="50157442" w14:textId="77777777" w:rsidR="00A133A8" w:rsidRDefault="00A133A8" w:rsidP="000B0C83">
      <w:pPr>
        <w:pStyle w:val="Heading2"/>
        <w:numPr>
          <w:ilvl w:val="1"/>
          <w:numId w:val="14"/>
        </w:numPr>
      </w:pPr>
      <w:r w:rsidRPr="00A25BB6">
        <w:t xml:space="preserve">The successful </w:t>
      </w:r>
      <w:r>
        <w:t>tenderer</w:t>
      </w:r>
      <w:r w:rsidRPr="00A25BB6">
        <w:t xml:space="preserve">s will be selected on the basis of the most economically advantageous proposal, having regard to </w:t>
      </w:r>
      <w:r>
        <w:t>the evaluation criteria specified below</w:t>
      </w:r>
      <w:r w:rsidRPr="00A25BB6">
        <w:t>.</w:t>
      </w:r>
      <w:r w:rsidR="00401EFC">
        <w:t xml:space="preserve"> </w:t>
      </w:r>
      <w:r>
        <w:t>The Authority</w:t>
      </w:r>
      <w:r w:rsidRPr="00A25BB6">
        <w:t xml:space="preserve"> shall not be bound to accept any proposal received or to award any contract pursuant to this Invitation to Tender.</w:t>
      </w:r>
    </w:p>
    <w:p w14:paraId="6219ED6D" w14:textId="77777777" w:rsidR="00A133A8" w:rsidRPr="004A31ED" w:rsidRDefault="00A133A8" w:rsidP="000B0C83">
      <w:pPr>
        <w:pStyle w:val="Heading2"/>
        <w:numPr>
          <w:ilvl w:val="1"/>
          <w:numId w:val="14"/>
        </w:numPr>
      </w:pPr>
      <w:r w:rsidRPr="004A31ED">
        <w:t>Tenders will be evaluated by applying a weighting of:</w:t>
      </w:r>
    </w:p>
    <w:p w14:paraId="17B66C8E" w14:textId="77777777" w:rsidR="00A133A8" w:rsidRPr="00881E2D" w:rsidRDefault="00225042" w:rsidP="00CD42C0">
      <w:pPr>
        <w:pStyle w:val="Bullet"/>
        <w:tabs>
          <w:tab w:val="num" w:pos="1080"/>
        </w:tabs>
        <w:ind w:left="1620" w:hanging="540"/>
      </w:pPr>
      <w:r>
        <w:t>6</w:t>
      </w:r>
      <w:r w:rsidR="00A133A8">
        <w:t>0</w:t>
      </w:r>
      <w:r w:rsidR="00A133A8" w:rsidRPr="00881E2D">
        <w:t xml:space="preserve">% in respect of the evaluation for </w:t>
      </w:r>
      <w:r w:rsidR="00A133A8">
        <w:t>quality;</w:t>
      </w:r>
    </w:p>
    <w:p w14:paraId="4C6F4406" w14:textId="77777777" w:rsidR="00A133A8" w:rsidRDefault="00225042" w:rsidP="00CD42C0">
      <w:pPr>
        <w:pStyle w:val="Bullet"/>
        <w:tabs>
          <w:tab w:val="num" w:pos="1080"/>
        </w:tabs>
        <w:ind w:left="1620" w:hanging="540"/>
      </w:pPr>
      <w:r>
        <w:t>4</w:t>
      </w:r>
      <w:r w:rsidR="00A133A8">
        <w:t>0</w:t>
      </w:r>
      <w:r w:rsidR="00A133A8" w:rsidRPr="00881E2D">
        <w:t>% in respect of the evaluation</w:t>
      </w:r>
      <w:r w:rsidR="00A133A8">
        <w:t xml:space="preserve"> for price</w:t>
      </w:r>
    </w:p>
    <w:p w14:paraId="63917C1C" w14:textId="46C502B1" w:rsidR="00A133A8" w:rsidRDefault="00A133A8" w:rsidP="000B0C83">
      <w:pPr>
        <w:pStyle w:val="Heading2"/>
        <w:numPr>
          <w:ilvl w:val="1"/>
          <w:numId w:val="14"/>
        </w:numPr>
        <w:rPr>
          <w:szCs w:val="24"/>
        </w:rPr>
      </w:pPr>
      <w:r>
        <w:t xml:space="preserve">The sub-criteria and weightings in respect of the evaluation </w:t>
      </w:r>
      <w:r w:rsidR="004C0A1A">
        <w:t xml:space="preserve">are </w:t>
      </w:r>
      <w:r w:rsidR="00290BE2">
        <w:t>outlined at D1 – D4</w:t>
      </w:r>
    </w:p>
    <w:p w14:paraId="7FC72DB7" w14:textId="77777777" w:rsidR="008F3132" w:rsidRPr="00622E5B" w:rsidRDefault="008F3132" w:rsidP="008F3132">
      <w:pPr>
        <w:overflowPunct w:val="0"/>
        <w:autoSpaceDE w:val="0"/>
        <w:autoSpaceDN w:val="0"/>
        <w:adjustRightInd w:val="0"/>
        <w:spacing w:before="120" w:after="120"/>
        <w:jc w:val="both"/>
        <w:textAlignment w:val="baseline"/>
        <w:rPr>
          <w:rFonts w:cs="Arial"/>
          <w:sz w:val="20"/>
        </w:rPr>
      </w:pPr>
    </w:p>
    <w:p w14:paraId="1731B19B" w14:textId="77777777" w:rsidR="00E87157" w:rsidRPr="00E87157" w:rsidRDefault="008F3132" w:rsidP="000B0C83">
      <w:pPr>
        <w:pStyle w:val="Heading2"/>
        <w:numPr>
          <w:ilvl w:val="1"/>
          <w:numId w:val="14"/>
        </w:numPr>
        <w:rPr>
          <w:sz w:val="20"/>
        </w:rPr>
      </w:pPr>
      <w:r w:rsidRPr="00A133A8">
        <w:t>Tenderers will be awarded a</w:t>
      </w:r>
      <w:r w:rsidR="00CD42C0">
        <w:t xml:space="preserve"> </w:t>
      </w:r>
      <w:r w:rsidRPr="00A133A8">
        <w:t>Contract who, in the opinion of the Authority at the conclusion of t</w:t>
      </w:r>
      <w:r w:rsidR="00746400">
        <w:t>he evaluation, offers the Most E</w:t>
      </w:r>
      <w:r w:rsidRPr="00A133A8">
        <w:t xml:space="preserve">conomically </w:t>
      </w:r>
      <w:r w:rsidR="00746400">
        <w:t>A</w:t>
      </w:r>
      <w:r w:rsidRPr="00A133A8">
        <w:t>dvantageous Tender(s) to the Authority having regard to</w:t>
      </w:r>
      <w:r w:rsidR="00E72D51">
        <w:t xml:space="preserve"> the award criteria set out in Section D</w:t>
      </w:r>
      <w:r w:rsidRPr="00A133A8">
        <w:t xml:space="preserve"> above.</w:t>
      </w:r>
      <w:r w:rsidRPr="008F3132">
        <w:rPr>
          <w:sz w:val="20"/>
        </w:rPr>
        <w:t xml:space="preserve"> </w:t>
      </w:r>
    </w:p>
    <w:p w14:paraId="68773EFA" w14:textId="77777777" w:rsidR="008F3132" w:rsidRPr="00020DAD" w:rsidRDefault="008F3132" w:rsidP="00954471">
      <w:pPr>
        <w:pStyle w:val="Heading8"/>
        <w:rPr>
          <w:color w:val="416CBB"/>
        </w:rPr>
      </w:pPr>
      <w:r w:rsidRPr="00020DAD">
        <w:rPr>
          <w:color w:val="416CBB"/>
        </w:rPr>
        <w:t>Evaluation Process</w:t>
      </w:r>
    </w:p>
    <w:p w14:paraId="41B7FB73" w14:textId="77777777" w:rsidR="008F3132" w:rsidRDefault="008F3132" w:rsidP="000B0C83">
      <w:pPr>
        <w:pStyle w:val="Heading2"/>
        <w:numPr>
          <w:ilvl w:val="1"/>
          <w:numId w:val="14"/>
        </w:numPr>
      </w:pPr>
      <w:r w:rsidRPr="008F3132">
        <w:t>The evaluation process will feature some, if not all, the following phases:</w:t>
      </w:r>
    </w:p>
    <w:p w14:paraId="4A364391" w14:textId="77777777" w:rsidR="00376875" w:rsidRDefault="00376875" w:rsidP="00376875">
      <w:pPr>
        <w:overflowPunct w:val="0"/>
        <w:autoSpaceDE w:val="0"/>
        <w:autoSpaceDN w:val="0"/>
        <w:adjustRightInd w:val="0"/>
        <w:spacing w:before="120" w:after="120"/>
        <w:jc w:val="both"/>
        <w:textAlignment w:val="baseline"/>
        <w:rPr>
          <w:rFonts w:cs="Arial"/>
          <w:sz w:val="20"/>
        </w:rPr>
      </w:pPr>
    </w:p>
    <w:tbl>
      <w:tblPr>
        <w:tblW w:w="4847"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6745"/>
      </w:tblGrid>
      <w:tr w:rsidR="00376875" w:rsidRPr="008F3132" w14:paraId="6B214875" w14:textId="77777777">
        <w:trPr>
          <w:trHeight w:val="599"/>
        </w:trPr>
        <w:tc>
          <w:tcPr>
            <w:tcW w:w="5000" w:type="pct"/>
            <w:gridSpan w:val="2"/>
            <w:shd w:val="clear" w:color="auto" w:fill="416CBB"/>
          </w:tcPr>
          <w:p w14:paraId="1ECAF4E2" w14:textId="77777777" w:rsidR="00376875" w:rsidRPr="008F3132" w:rsidRDefault="008657B9" w:rsidP="00376875">
            <w:pPr>
              <w:overflowPunct w:val="0"/>
              <w:autoSpaceDE w:val="0"/>
              <w:autoSpaceDN w:val="0"/>
              <w:adjustRightInd w:val="0"/>
              <w:spacing w:before="120" w:after="120"/>
              <w:textAlignment w:val="baseline"/>
              <w:rPr>
                <w:rFonts w:cs="Arial"/>
                <w:b/>
                <w:noProof/>
                <w:color w:val="FFFFFF"/>
                <w:sz w:val="20"/>
              </w:rPr>
            </w:pPr>
            <w:r>
              <w:rPr>
                <w:rFonts w:cs="Arial"/>
                <w:b/>
                <w:noProof/>
                <w:color w:val="FFFFFF"/>
                <w:sz w:val="20"/>
              </w:rPr>
              <w:t>TABLE 2</w:t>
            </w:r>
            <w:r w:rsidR="00376875" w:rsidRPr="008F3132">
              <w:rPr>
                <w:rFonts w:cs="Arial"/>
                <w:b/>
                <w:noProof/>
                <w:color w:val="FFFFFF"/>
                <w:sz w:val="20"/>
              </w:rPr>
              <w:t xml:space="preserve">: </w:t>
            </w:r>
            <w:r w:rsidR="00376875">
              <w:rPr>
                <w:rFonts w:cs="Arial"/>
                <w:b/>
                <w:noProof/>
                <w:color w:val="FFFFFF"/>
                <w:sz w:val="20"/>
              </w:rPr>
              <w:t>EVALUATION PROCESS</w:t>
            </w:r>
            <w:r w:rsidR="00376875" w:rsidRPr="008F3132">
              <w:rPr>
                <w:rFonts w:cs="Arial"/>
                <w:b/>
                <w:noProof/>
                <w:color w:val="FFFFFF"/>
                <w:sz w:val="20"/>
              </w:rPr>
              <w:t xml:space="preserve"> </w:t>
            </w:r>
          </w:p>
        </w:tc>
      </w:tr>
      <w:tr w:rsidR="00376875" w:rsidRPr="008F3132" w14:paraId="37CF9A68" w14:textId="77777777">
        <w:tc>
          <w:tcPr>
            <w:tcW w:w="1130" w:type="pct"/>
          </w:tcPr>
          <w:p w14:paraId="76E59FD8" w14:textId="77777777" w:rsidR="00376875" w:rsidRPr="008657B9" w:rsidRDefault="00381764" w:rsidP="00376875">
            <w:pPr>
              <w:overflowPunct w:val="0"/>
              <w:autoSpaceDE w:val="0"/>
              <w:autoSpaceDN w:val="0"/>
              <w:adjustRightInd w:val="0"/>
              <w:spacing w:before="120" w:after="120"/>
              <w:textAlignment w:val="baseline"/>
              <w:rPr>
                <w:rFonts w:cs="Arial"/>
                <w:noProof/>
                <w:szCs w:val="22"/>
              </w:rPr>
            </w:pPr>
            <w:r w:rsidRPr="008657B9">
              <w:rPr>
                <w:rFonts w:cs="Arial"/>
                <w:noProof/>
                <w:szCs w:val="22"/>
              </w:rPr>
              <w:t>Phase 1</w:t>
            </w:r>
          </w:p>
        </w:tc>
        <w:tc>
          <w:tcPr>
            <w:tcW w:w="3870" w:type="pct"/>
          </w:tcPr>
          <w:p w14:paraId="62321EAC" w14:textId="77777777" w:rsidR="00376875" w:rsidRPr="008657B9" w:rsidRDefault="00381764" w:rsidP="00376875">
            <w:pPr>
              <w:overflowPunct w:val="0"/>
              <w:autoSpaceDE w:val="0"/>
              <w:autoSpaceDN w:val="0"/>
              <w:adjustRightInd w:val="0"/>
              <w:spacing w:before="120" w:after="120"/>
              <w:textAlignment w:val="baseline"/>
              <w:rPr>
                <w:rFonts w:cs="Arial"/>
                <w:noProof/>
                <w:szCs w:val="22"/>
              </w:rPr>
            </w:pPr>
            <w:r w:rsidRPr="008657B9">
              <w:rPr>
                <w:rFonts w:cs="Arial"/>
                <w:szCs w:val="22"/>
              </w:rPr>
              <w:t>Compliance Checks</w:t>
            </w:r>
          </w:p>
        </w:tc>
      </w:tr>
      <w:tr w:rsidR="00376875" w:rsidRPr="008F3132" w14:paraId="1C78A991" w14:textId="77777777">
        <w:tc>
          <w:tcPr>
            <w:tcW w:w="1130" w:type="pct"/>
          </w:tcPr>
          <w:p w14:paraId="32634D2A" w14:textId="77777777" w:rsidR="00376875" w:rsidRPr="008657B9" w:rsidRDefault="00381764" w:rsidP="008657B9">
            <w:pPr>
              <w:tabs>
                <w:tab w:val="num" w:pos="-3410"/>
              </w:tabs>
              <w:overflowPunct w:val="0"/>
              <w:autoSpaceDE w:val="0"/>
              <w:autoSpaceDN w:val="0"/>
              <w:adjustRightInd w:val="0"/>
              <w:spacing w:before="120" w:after="120"/>
              <w:jc w:val="both"/>
              <w:textAlignment w:val="baseline"/>
              <w:rPr>
                <w:rFonts w:cs="Arial"/>
                <w:szCs w:val="22"/>
              </w:rPr>
            </w:pPr>
            <w:r w:rsidRPr="008657B9">
              <w:rPr>
                <w:rFonts w:cs="Arial"/>
                <w:szCs w:val="22"/>
              </w:rPr>
              <w:t>Phase 2</w:t>
            </w:r>
          </w:p>
        </w:tc>
        <w:tc>
          <w:tcPr>
            <w:tcW w:w="3870" w:type="pct"/>
          </w:tcPr>
          <w:p w14:paraId="269425BE" w14:textId="77777777" w:rsidR="00376875" w:rsidRPr="008657B9" w:rsidRDefault="00E72D51" w:rsidP="00376875">
            <w:pPr>
              <w:overflowPunct w:val="0"/>
              <w:autoSpaceDE w:val="0"/>
              <w:autoSpaceDN w:val="0"/>
              <w:adjustRightInd w:val="0"/>
              <w:spacing w:before="120" w:after="120"/>
              <w:textAlignment w:val="baseline"/>
              <w:rPr>
                <w:rFonts w:cs="Arial"/>
                <w:noProof/>
                <w:szCs w:val="22"/>
              </w:rPr>
            </w:pPr>
            <w:r>
              <w:rPr>
                <w:rFonts w:cs="Arial"/>
                <w:szCs w:val="22"/>
              </w:rPr>
              <w:t>Assessment of the Selection Phase Information (Standard Selection Questionnaires)</w:t>
            </w:r>
          </w:p>
        </w:tc>
      </w:tr>
      <w:tr w:rsidR="00E72D51" w:rsidRPr="008F3132" w14:paraId="0312BFC0" w14:textId="77777777">
        <w:tc>
          <w:tcPr>
            <w:tcW w:w="1130" w:type="pct"/>
          </w:tcPr>
          <w:p w14:paraId="5C0DD459" w14:textId="77777777" w:rsidR="00E72D51" w:rsidRPr="008657B9" w:rsidRDefault="00E72D51" w:rsidP="008657B9">
            <w:pPr>
              <w:tabs>
                <w:tab w:val="num" w:pos="-3410"/>
              </w:tabs>
              <w:overflowPunct w:val="0"/>
              <w:autoSpaceDE w:val="0"/>
              <w:autoSpaceDN w:val="0"/>
              <w:adjustRightInd w:val="0"/>
              <w:spacing w:before="120" w:after="120"/>
              <w:jc w:val="both"/>
              <w:textAlignment w:val="baseline"/>
              <w:rPr>
                <w:rFonts w:cs="Arial"/>
                <w:szCs w:val="22"/>
              </w:rPr>
            </w:pPr>
            <w:r>
              <w:rPr>
                <w:rFonts w:cs="Arial"/>
                <w:szCs w:val="22"/>
              </w:rPr>
              <w:t>Phase 3</w:t>
            </w:r>
          </w:p>
        </w:tc>
        <w:tc>
          <w:tcPr>
            <w:tcW w:w="3870" w:type="pct"/>
          </w:tcPr>
          <w:p w14:paraId="19984EC6" w14:textId="0F05162C" w:rsidR="00E72D51" w:rsidRDefault="00E72D51">
            <w:pPr>
              <w:overflowPunct w:val="0"/>
              <w:autoSpaceDE w:val="0"/>
              <w:autoSpaceDN w:val="0"/>
              <w:adjustRightInd w:val="0"/>
              <w:spacing w:before="120" w:after="120"/>
              <w:textAlignment w:val="baseline"/>
              <w:rPr>
                <w:rFonts w:cs="Arial"/>
                <w:szCs w:val="22"/>
              </w:rPr>
            </w:pPr>
            <w:r>
              <w:rPr>
                <w:rFonts w:cs="Arial"/>
                <w:szCs w:val="22"/>
              </w:rPr>
              <w:t xml:space="preserve">Independent Evaluation of the Award Criteria (Questions D1 – </w:t>
            </w:r>
            <w:r w:rsidR="00290BE2">
              <w:rPr>
                <w:rFonts w:cs="Arial"/>
                <w:szCs w:val="22"/>
              </w:rPr>
              <w:t>D</w:t>
            </w:r>
            <w:r w:rsidR="002D6E28">
              <w:rPr>
                <w:rFonts w:cs="Arial"/>
                <w:szCs w:val="22"/>
              </w:rPr>
              <w:t>4</w:t>
            </w:r>
            <w:r>
              <w:rPr>
                <w:rFonts w:cs="Arial"/>
                <w:szCs w:val="22"/>
              </w:rPr>
              <w:t>) by evaluation committee members</w:t>
            </w:r>
          </w:p>
        </w:tc>
      </w:tr>
      <w:tr w:rsidR="00E72D51" w:rsidRPr="008F3132" w14:paraId="60BD985A" w14:textId="77777777">
        <w:tc>
          <w:tcPr>
            <w:tcW w:w="1130" w:type="pct"/>
          </w:tcPr>
          <w:p w14:paraId="0152D69C" w14:textId="77777777" w:rsidR="00E72D51" w:rsidRDefault="00E72D51" w:rsidP="008657B9">
            <w:pPr>
              <w:tabs>
                <w:tab w:val="num" w:pos="-3410"/>
              </w:tabs>
              <w:overflowPunct w:val="0"/>
              <w:autoSpaceDE w:val="0"/>
              <w:autoSpaceDN w:val="0"/>
              <w:adjustRightInd w:val="0"/>
              <w:spacing w:before="120" w:after="120"/>
              <w:jc w:val="both"/>
              <w:textAlignment w:val="baseline"/>
              <w:rPr>
                <w:rFonts w:cs="Arial"/>
                <w:szCs w:val="22"/>
              </w:rPr>
            </w:pPr>
            <w:r>
              <w:rPr>
                <w:rFonts w:cs="Arial"/>
                <w:szCs w:val="22"/>
              </w:rPr>
              <w:lastRenderedPageBreak/>
              <w:t>Phase 4</w:t>
            </w:r>
          </w:p>
        </w:tc>
        <w:tc>
          <w:tcPr>
            <w:tcW w:w="3870" w:type="pct"/>
          </w:tcPr>
          <w:p w14:paraId="61FFD871" w14:textId="77777777" w:rsidR="00E72D51" w:rsidRDefault="00E72D51" w:rsidP="00E72D51">
            <w:pPr>
              <w:overflowPunct w:val="0"/>
              <w:autoSpaceDE w:val="0"/>
              <w:autoSpaceDN w:val="0"/>
              <w:adjustRightInd w:val="0"/>
              <w:spacing w:before="120" w:after="120"/>
              <w:textAlignment w:val="baseline"/>
              <w:rPr>
                <w:rFonts w:cs="Arial"/>
                <w:noProof/>
                <w:szCs w:val="22"/>
              </w:rPr>
            </w:pPr>
            <w:r>
              <w:rPr>
                <w:rFonts w:cs="Arial"/>
                <w:noProof/>
                <w:szCs w:val="22"/>
              </w:rPr>
              <w:t>Consensus Meeting to confirm scores for the tenders</w:t>
            </w:r>
          </w:p>
          <w:p w14:paraId="2F1F599D" w14:textId="77777777" w:rsidR="00E72D51" w:rsidRDefault="00E72D51" w:rsidP="00E72D51">
            <w:pPr>
              <w:overflowPunct w:val="0"/>
              <w:autoSpaceDE w:val="0"/>
              <w:autoSpaceDN w:val="0"/>
              <w:adjustRightInd w:val="0"/>
              <w:spacing w:before="120" w:after="120"/>
              <w:textAlignment w:val="baseline"/>
              <w:rPr>
                <w:rFonts w:cs="Arial"/>
                <w:szCs w:val="22"/>
              </w:rPr>
            </w:pPr>
            <w:r>
              <w:rPr>
                <w:rFonts w:cs="Arial"/>
                <w:noProof/>
                <w:szCs w:val="22"/>
              </w:rPr>
              <w:t>(The consensus scoring process will operate on a mean average basis of each of the independent scores)</w:t>
            </w:r>
          </w:p>
        </w:tc>
      </w:tr>
      <w:tr w:rsidR="00E72D51" w:rsidRPr="008F3132" w14:paraId="67D77330" w14:textId="77777777">
        <w:tc>
          <w:tcPr>
            <w:tcW w:w="1130" w:type="pct"/>
          </w:tcPr>
          <w:p w14:paraId="648A9700" w14:textId="77777777" w:rsidR="00E72D51" w:rsidRDefault="00E72D51" w:rsidP="008657B9">
            <w:pPr>
              <w:tabs>
                <w:tab w:val="num" w:pos="-3410"/>
              </w:tabs>
              <w:overflowPunct w:val="0"/>
              <w:autoSpaceDE w:val="0"/>
              <w:autoSpaceDN w:val="0"/>
              <w:adjustRightInd w:val="0"/>
              <w:spacing w:before="120" w:after="120"/>
              <w:jc w:val="both"/>
              <w:textAlignment w:val="baseline"/>
              <w:rPr>
                <w:rFonts w:cs="Arial"/>
                <w:szCs w:val="22"/>
              </w:rPr>
            </w:pPr>
            <w:r>
              <w:rPr>
                <w:rFonts w:cs="Arial"/>
                <w:szCs w:val="22"/>
              </w:rPr>
              <w:t>Phase 5</w:t>
            </w:r>
          </w:p>
        </w:tc>
        <w:tc>
          <w:tcPr>
            <w:tcW w:w="3870" w:type="pct"/>
          </w:tcPr>
          <w:p w14:paraId="33CFC0D4" w14:textId="77777777" w:rsidR="00E72D51" w:rsidRDefault="00E72D51" w:rsidP="00376875">
            <w:pPr>
              <w:overflowPunct w:val="0"/>
              <w:autoSpaceDE w:val="0"/>
              <w:autoSpaceDN w:val="0"/>
              <w:adjustRightInd w:val="0"/>
              <w:spacing w:before="120" w:after="120"/>
              <w:textAlignment w:val="baseline"/>
              <w:rPr>
                <w:rFonts w:cs="Arial"/>
                <w:noProof/>
                <w:szCs w:val="22"/>
              </w:rPr>
            </w:pPr>
            <w:r>
              <w:rPr>
                <w:rFonts w:cs="Arial"/>
                <w:noProof/>
                <w:szCs w:val="22"/>
              </w:rPr>
              <w:t>Cost/Price Scoring</w:t>
            </w:r>
          </w:p>
          <w:p w14:paraId="44255916" w14:textId="77777777" w:rsidR="002143AF" w:rsidRDefault="002143AF" w:rsidP="00376875">
            <w:pPr>
              <w:overflowPunct w:val="0"/>
              <w:autoSpaceDE w:val="0"/>
              <w:autoSpaceDN w:val="0"/>
              <w:adjustRightInd w:val="0"/>
              <w:spacing w:before="120" w:after="120"/>
              <w:textAlignment w:val="baseline"/>
              <w:rPr>
                <w:rFonts w:cs="Arial"/>
                <w:szCs w:val="22"/>
              </w:rPr>
            </w:pPr>
            <w:r>
              <w:rPr>
                <w:rFonts w:cs="Arial"/>
                <w:noProof/>
                <w:szCs w:val="22"/>
              </w:rPr>
              <w:t xml:space="preserve">(Undertaken through spreadsheet) </w:t>
            </w:r>
          </w:p>
        </w:tc>
      </w:tr>
      <w:tr w:rsidR="00E72D51" w:rsidRPr="008F3132" w14:paraId="32B579F5" w14:textId="77777777">
        <w:tc>
          <w:tcPr>
            <w:tcW w:w="1130" w:type="pct"/>
          </w:tcPr>
          <w:p w14:paraId="4F6ADC3E" w14:textId="77777777" w:rsidR="00E72D51" w:rsidRPr="008657B9" w:rsidRDefault="00E72D51" w:rsidP="00376875">
            <w:pPr>
              <w:overflowPunct w:val="0"/>
              <w:autoSpaceDE w:val="0"/>
              <w:autoSpaceDN w:val="0"/>
              <w:adjustRightInd w:val="0"/>
              <w:spacing w:before="120" w:after="120"/>
              <w:textAlignment w:val="baseline"/>
              <w:rPr>
                <w:rFonts w:cs="Arial"/>
                <w:noProof/>
                <w:szCs w:val="22"/>
              </w:rPr>
            </w:pPr>
            <w:r>
              <w:rPr>
                <w:rFonts w:cs="Arial"/>
                <w:noProof/>
                <w:szCs w:val="22"/>
              </w:rPr>
              <w:t xml:space="preserve">Phase </w:t>
            </w:r>
            <w:r w:rsidR="002143AF">
              <w:rPr>
                <w:rFonts w:cs="Arial"/>
                <w:noProof/>
                <w:szCs w:val="22"/>
              </w:rPr>
              <w:t>6</w:t>
            </w:r>
          </w:p>
        </w:tc>
        <w:tc>
          <w:tcPr>
            <w:tcW w:w="3870" w:type="pct"/>
          </w:tcPr>
          <w:p w14:paraId="51900E44" w14:textId="77777777" w:rsidR="00E72D51" w:rsidRDefault="00E72D51" w:rsidP="00376875">
            <w:pPr>
              <w:overflowPunct w:val="0"/>
              <w:autoSpaceDE w:val="0"/>
              <w:autoSpaceDN w:val="0"/>
              <w:adjustRightInd w:val="0"/>
              <w:spacing w:before="120" w:after="120"/>
              <w:textAlignment w:val="baseline"/>
              <w:rPr>
                <w:rFonts w:cs="Arial"/>
                <w:noProof/>
                <w:szCs w:val="22"/>
              </w:rPr>
            </w:pPr>
            <w:r>
              <w:rPr>
                <w:rFonts w:cs="Arial"/>
                <w:noProof/>
                <w:szCs w:val="22"/>
              </w:rPr>
              <w:t>Identification of the Most Economically Advantegous Tender Submission</w:t>
            </w:r>
          </w:p>
          <w:p w14:paraId="1E801515" w14:textId="77777777" w:rsidR="00E72D51" w:rsidRDefault="00E72D51" w:rsidP="00376875">
            <w:pPr>
              <w:overflowPunct w:val="0"/>
              <w:autoSpaceDE w:val="0"/>
              <w:autoSpaceDN w:val="0"/>
              <w:adjustRightInd w:val="0"/>
              <w:spacing w:before="120" w:after="120"/>
              <w:textAlignment w:val="baseline"/>
              <w:rPr>
                <w:rFonts w:cs="Arial"/>
                <w:noProof/>
                <w:szCs w:val="22"/>
              </w:rPr>
            </w:pPr>
            <w:r>
              <w:rPr>
                <w:rFonts w:cs="Arial"/>
                <w:noProof/>
                <w:szCs w:val="22"/>
              </w:rPr>
              <w:t xml:space="preserve">(This will be on the basis of the highest total score for the combined quality and cost/price scores) </w:t>
            </w:r>
          </w:p>
        </w:tc>
      </w:tr>
      <w:tr w:rsidR="002143AF" w:rsidRPr="008F3132" w14:paraId="7CC615CB" w14:textId="77777777">
        <w:tc>
          <w:tcPr>
            <w:tcW w:w="1130" w:type="pct"/>
          </w:tcPr>
          <w:p w14:paraId="77146FBC" w14:textId="77777777" w:rsidR="002143AF" w:rsidRDefault="002143AF" w:rsidP="00376875">
            <w:pPr>
              <w:overflowPunct w:val="0"/>
              <w:autoSpaceDE w:val="0"/>
              <w:autoSpaceDN w:val="0"/>
              <w:adjustRightInd w:val="0"/>
              <w:spacing w:before="120" w:after="120"/>
              <w:textAlignment w:val="baseline"/>
              <w:rPr>
                <w:rFonts w:cs="Arial"/>
                <w:noProof/>
                <w:szCs w:val="22"/>
              </w:rPr>
            </w:pPr>
            <w:r>
              <w:rPr>
                <w:rFonts w:cs="Arial"/>
                <w:noProof/>
                <w:szCs w:val="22"/>
              </w:rPr>
              <w:t>Phase 7</w:t>
            </w:r>
          </w:p>
        </w:tc>
        <w:tc>
          <w:tcPr>
            <w:tcW w:w="3870" w:type="pct"/>
          </w:tcPr>
          <w:p w14:paraId="660F874A" w14:textId="77777777" w:rsidR="002143AF" w:rsidRDefault="002143AF" w:rsidP="002143AF">
            <w:pPr>
              <w:overflowPunct w:val="0"/>
              <w:autoSpaceDE w:val="0"/>
              <w:autoSpaceDN w:val="0"/>
              <w:adjustRightInd w:val="0"/>
              <w:spacing w:before="120" w:after="120"/>
              <w:textAlignment w:val="baseline"/>
              <w:rPr>
                <w:rFonts w:cs="Arial"/>
                <w:noProof/>
                <w:szCs w:val="22"/>
              </w:rPr>
            </w:pPr>
            <w:r>
              <w:rPr>
                <w:rFonts w:cs="Arial"/>
                <w:noProof/>
                <w:szCs w:val="22"/>
              </w:rPr>
              <w:t>Evaluation Report, recommendation and decision to proceed</w:t>
            </w:r>
          </w:p>
        </w:tc>
      </w:tr>
      <w:tr w:rsidR="002143AF" w:rsidRPr="008F3132" w14:paraId="13F17485" w14:textId="77777777">
        <w:tc>
          <w:tcPr>
            <w:tcW w:w="1130" w:type="pct"/>
          </w:tcPr>
          <w:p w14:paraId="563F0CDF" w14:textId="77777777" w:rsidR="002143AF" w:rsidRDefault="002143AF" w:rsidP="00376875">
            <w:pPr>
              <w:overflowPunct w:val="0"/>
              <w:autoSpaceDE w:val="0"/>
              <w:autoSpaceDN w:val="0"/>
              <w:adjustRightInd w:val="0"/>
              <w:spacing w:before="120" w:after="120"/>
              <w:textAlignment w:val="baseline"/>
              <w:rPr>
                <w:rFonts w:cs="Arial"/>
                <w:noProof/>
                <w:szCs w:val="22"/>
              </w:rPr>
            </w:pPr>
            <w:r>
              <w:rPr>
                <w:rFonts w:cs="Arial"/>
                <w:noProof/>
                <w:szCs w:val="22"/>
              </w:rPr>
              <w:t xml:space="preserve">Phase 8 </w:t>
            </w:r>
          </w:p>
        </w:tc>
        <w:tc>
          <w:tcPr>
            <w:tcW w:w="3870" w:type="pct"/>
          </w:tcPr>
          <w:p w14:paraId="4BDDB83A" w14:textId="77777777" w:rsidR="002143AF" w:rsidRDefault="002143AF" w:rsidP="00376875">
            <w:pPr>
              <w:overflowPunct w:val="0"/>
              <w:autoSpaceDE w:val="0"/>
              <w:autoSpaceDN w:val="0"/>
              <w:adjustRightInd w:val="0"/>
              <w:spacing w:before="120" w:after="120"/>
              <w:textAlignment w:val="baseline"/>
              <w:rPr>
                <w:rFonts w:cs="Arial"/>
                <w:noProof/>
                <w:szCs w:val="22"/>
              </w:rPr>
            </w:pPr>
            <w:r>
              <w:rPr>
                <w:rFonts w:cs="Arial"/>
                <w:noProof/>
                <w:szCs w:val="22"/>
              </w:rPr>
              <w:t>Notification of tenderers</w:t>
            </w:r>
          </w:p>
        </w:tc>
      </w:tr>
      <w:tr w:rsidR="00827638" w:rsidRPr="008F3132" w14:paraId="4842D1CD" w14:textId="77777777">
        <w:tc>
          <w:tcPr>
            <w:tcW w:w="5000" w:type="pct"/>
            <w:gridSpan w:val="2"/>
          </w:tcPr>
          <w:p w14:paraId="310FD7ED" w14:textId="77777777" w:rsidR="00827638" w:rsidRPr="002143AF" w:rsidRDefault="002143AF" w:rsidP="00376875">
            <w:pPr>
              <w:overflowPunct w:val="0"/>
              <w:autoSpaceDE w:val="0"/>
              <w:autoSpaceDN w:val="0"/>
              <w:adjustRightInd w:val="0"/>
              <w:spacing w:before="120" w:after="120"/>
              <w:textAlignment w:val="baseline"/>
              <w:rPr>
                <w:rFonts w:cs="Arial"/>
                <w:b/>
                <w:sz w:val="16"/>
                <w:szCs w:val="22"/>
              </w:rPr>
            </w:pPr>
            <w:r w:rsidRPr="002143AF">
              <w:rPr>
                <w:rFonts w:cs="Arial"/>
                <w:b/>
                <w:sz w:val="16"/>
                <w:szCs w:val="22"/>
              </w:rPr>
              <w:t xml:space="preserve">Note - the Authority reserves the right to vary the process so that Selection Phase evaluation takes place following phase 6. </w:t>
            </w:r>
          </w:p>
          <w:p w14:paraId="47DB6F1F" w14:textId="77777777" w:rsidR="002143AF" w:rsidRPr="008657B9" w:rsidRDefault="002143AF" w:rsidP="002143AF">
            <w:pPr>
              <w:overflowPunct w:val="0"/>
              <w:autoSpaceDE w:val="0"/>
              <w:autoSpaceDN w:val="0"/>
              <w:adjustRightInd w:val="0"/>
              <w:spacing w:before="120" w:after="120"/>
              <w:textAlignment w:val="baseline"/>
              <w:rPr>
                <w:rFonts w:cs="Arial"/>
                <w:szCs w:val="22"/>
              </w:rPr>
            </w:pPr>
            <w:r w:rsidRPr="002143AF">
              <w:rPr>
                <w:rFonts w:cs="Arial"/>
                <w:b/>
                <w:sz w:val="16"/>
                <w:szCs w:val="22"/>
              </w:rPr>
              <w:t>Note – Some phases e.g. Cost/Price Scoring, may overlap with other phases and the above ordering of activity should be considered illustrative only</w:t>
            </w:r>
            <w:r>
              <w:rPr>
                <w:rFonts w:cs="Arial"/>
                <w:sz w:val="16"/>
                <w:szCs w:val="22"/>
              </w:rPr>
              <w:t>.</w:t>
            </w:r>
          </w:p>
        </w:tc>
      </w:tr>
    </w:tbl>
    <w:p w14:paraId="467781A2" w14:textId="77777777" w:rsidR="008F3132" w:rsidRPr="00020DAD" w:rsidRDefault="008F3132" w:rsidP="00954471">
      <w:pPr>
        <w:pStyle w:val="Heading8"/>
        <w:rPr>
          <w:color w:val="416CBB"/>
        </w:rPr>
      </w:pPr>
      <w:r w:rsidRPr="00020DAD">
        <w:rPr>
          <w:color w:val="416CBB"/>
        </w:rPr>
        <w:t>Award of Contract</w:t>
      </w:r>
    </w:p>
    <w:p w14:paraId="71B50DB9" w14:textId="77777777" w:rsidR="002143AF" w:rsidRDefault="008F3132" w:rsidP="000B0C83">
      <w:pPr>
        <w:pStyle w:val="Heading2"/>
        <w:numPr>
          <w:ilvl w:val="1"/>
          <w:numId w:val="14"/>
        </w:numPr>
      </w:pPr>
      <w:r w:rsidRPr="008F3132">
        <w:t>The Authority will inform all Tenderers in writing of any intention to award a Contract.</w:t>
      </w:r>
      <w:r w:rsidR="00401EFC">
        <w:t xml:space="preserve"> </w:t>
      </w:r>
    </w:p>
    <w:p w14:paraId="49DC654C" w14:textId="77777777" w:rsidR="008F3132" w:rsidRPr="008F3132" w:rsidRDefault="002143AF" w:rsidP="000B0C83">
      <w:pPr>
        <w:pStyle w:val="Heading2"/>
        <w:numPr>
          <w:ilvl w:val="1"/>
          <w:numId w:val="14"/>
        </w:numPr>
      </w:pPr>
      <w:r>
        <w:t>The identified preferred tenderer should be aware that the intention to award letter issued by the Authority does not commit the Authority to a contractual position with the tenderer. Any expenditure incurred at this point is at the tenderers risk and a contract will only be considered to be in p</w:t>
      </w:r>
      <w:r w:rsidR="009F6E2F">
        <w:t>l</w:t>
      </w:r>
      <w:r>
        <w:t xml:space="preserve">ace following the signature of the contract/agreement document issued to the tenderer following the notification process.    </w:t>
      </w:r>
    </w:p>
    <w:p w14:paraId="2726EE73" w14:textId="77777777" w:rsidR="008F3132" w:rsidRPr="00393D29" w:rsidRDefault="008F3132" w:rsidP="000B0C83">
      <w:pPr>
        <w:pStyle w:val="Heading2"/>
        <w:numPr>
          <w:ilvl w:val="1"/>
          <w:numId w:val="14"/>
        </w:numPr>
        <w:rPr>
          <w:sz w:val="20"/>
        </w:rPr>
      </w:pPr>
      <w:r w:rsidRPr="008F3132">
        <w:t>All unsuccessful Tenderers will be provid</w:t>
      </w:r>
      <w:r w:rsidR="005A1FAC">
        <w:t>ed with an “unsuccessful letter</w:t>
      </w:r>
      <w:r w:rsidR="009F6E2F" w:rsidRPr="008F3132">
        <w:t>“</w:t>
      </w:r>
      <w:r w:rsidR="009F6E2F">
        <w:t xml:space="preserve"> in</w:t>
      </w:r>
      <w:r w:rsidRPr="008F3132">
        <w:t xml:space="preserve"> writing</w:t>
      </w:r>
      <w:r w:rsidRPr="008F3132">
        <w:rPr>
          <w:color w:val="FF0000"/>
        </w:rPr>
        <w:t xml:space="preserve"> </w:t>
      </w:r>
      <w:r w:rsidR="009F6E2F" w:rsidRPr="009F6E2F">
        <w:t>via email</w:t>
      </w:r>
      <w:r w:rsidR="009F6E2F">
        <w:rPr>
          <w:color w:val="FF0000"/>
        </w:rPr>
        <w:t xml:space="preserve"> </w:t>
      </w:r>
      <w:r w:rsidR="009F6E2F">
        <w:t xml:space="preserve">at the same time that successful tenderer is notified of the tender outcome. The notification will </w:t>
      </w:r>
      <w:r w:rsidRPr="008F3132">
        <w:t>include details of:</w:t>
      </w:r>
    </w:p>
    <w:p w14:paraId="1B968374" w14:textId="77777777" w:rsidR="008F3132" w:rsidRPr="008F3132" w:rsidRDefault="008F3132" w:rsidP="000B0C83">
      <w:pPr>
        <w:pStyle w:val="Bullet"/>
        <w:numPr>
          <w:ilvl w:val="0"/>
          <w:numId w:val="12"/>
        </w:numPr>
      </w:pPr>
      <w:r w:rsidRPr="008F3132">
        <w:t>the award criteria;</w:t>
      </w:r>
    </w:p>
    <w:p w14:paraId="783DAC2A" w14:textId="77777777" w:rsidR="008F3132" w:rsidRPr="008F3132" w:rsidRDefault="008F3132" w:rsidP="000B0C83">
      <w:pPr>
        <w:pStyle w:val="Bullet"/>
        <w:numPr>
          <w:ilvl w:val="0"/>
          <w:numId w:val="12"/>
        </w:numPr>
      </w:pPr>
      <w:r w:rsidRPr="008F3132">
        <w:t>the score of the Tenderer;</w:t>
      </w:r>
    </w:p>
    <w:p w14:paraId="7102BBD8" w14:textId="77777777" w:rsidR="008F3132" w:rsidRPr="00540907" w:rsidRDefault="008F3132" w:rsidP="000B0C83">
      <w:pPr>
        <w:pStyle w:val="Bullet"/>
        <w:numPr>
          <w:ilvl w:val="0"/>
          <w:numId w:val="12"/>
        </w:numPr>
      </w:pPr>
      <w:r w:rsidRPr="008F3132">
        <w:t>the name of the successful Tenderer/s</w:t>
      </w:r>
    </w:p>
    <w:p w14:paraId="10ED3F96" w14:textId="77777777" w:rsidR="00A133A8" w:rsidRDefault="00393D29" w:rsidP="000B0C83">
      <w:pPr>
        <w:pStyle w:val="Bullet"/>
        <w:numPr>
          <w:ilvl w:val="0"/>
          <w:numId w:val="12"/>
        </w:numPr>
        <w:spacing w:after="240"/>
        <w:ind w:left="1775" w:hanging="357"/>
      </w:pPr>
      <w:r>
        <w:t>t</w:t>
      </w:r>
      <w:r w:rsidR="008F3132" w:rsidRPr="008F3132">
        <w:t>he score for the successful Tenderer/s.</w:t>
      </w:r>
    </w:p>
    <w:p w14:paraId="78AD298B" w14:textId="77777777" w:rsidR="009F6E2F" w:rsidRDefault="009F6E2F" w:rsidP="000B0C83">
      <w:pPr>
        <w:pStyle w:val="Bullet"/>
        <w:numPr>
          <w:ilvl w:val="0"/>
          <w:numId w:val="12"/>
        </w:numPr>
        <w:spacing w:after="240"/>
        <w:ind w:left="1775" w:hanging="357"/>
      </w:pPr>
      <w:r>
        <w:t>the relevant characteristics and advantages of the successful tender</w:t>
      </w:r>
    </w:p>
    <w:p w14:paraId="261FA159" w14:textId="77777777" w:rsidR="00D100B7" w:rsidRPr="00D100B7" w:rsidRDefault="002623A9" w:rsidP="000B0C83">
      <w:pPr>
        <w:pStyle w:val="Heading1"/>
        <w:numPr>
          <w:ilvl w:val="0"/>
          <w:numId w:val="14"/>
        </w:numPr>
      </w:pPr>
      <w:r>
        <w:br w:type="page"/>
      </w:r>
      <w:bookmarkStart w:id="32" w:name="_Toc226970465"/>
      <w:r w:rsidR="002B361D" w:rsidRPr="002917C8">
        <w:lastRenderedPageBreak/>
        <w:t xml:space="preserve">The </w:t>
      </w:r>
      <w:r w:rsidR="00827638">
        <w:t xml:space="preserve">Scope </w:t>
      </w:r>
      <w:r w:rsidR="00D100B7">
        <w:t xml:space="preserve">of </w:t>
      </w:r>
      <w:r w:rsidR="002B361D" w:rsidRPr="002917C8">
        <w:t>Service</w:t>
      </w:r>
      <w:bookmarkEnd w:id="32"/>
    </w:p>
    <w:p w14:paraId="267DA3E2" w14:textId="456ABAEF" w:rsidR="002B361D" w:rsidRPr="004C0A1A" w:rsidRDefault="00AD1AD3" w:rsidP="00192A9E">
      <w:pPr>
        <w:pStyle w:val="Heading2"/>
        <w:rPr>
          <w:b/>
        </w:rPr>
      </w:pPr>
      <w:r>
        <w:rPr>
          <w:b/>
        </w:rPr>
        <w:t xml:space="preserve">A detailed </w:t>
      </w:r>
      <w:r w:rsidR="008D33EB">
        <w:rPr>
          <w:b/>
        </w:rPr>
        <w:t xml:space="preserve">mandatory </w:t>
      </w:r>
      <w:r>
        <w:rPr>
          <w:b/>
        </w:rPr>
        <w:t>specification</w:t>
      </w:r>
      <w:r w:rsidR="009F6E2F">
        <w:rPr>
          <w:b/>
        </w:rPr>
        <w:t xml:space="preserve"> is included in </w:t>
      </w:r>
      <w:r>
        <w:rPr>
          <w:b/>
        </w:rPr>
        <w:t>Annex B</w:t>
      </w:r>
      <w:r w:rsidR="009F6E2F">
        <w:rPr>
          <w:b/>
        </w:rPr>
        <w:t xml:space="preserve"> included in the tender package </w:t>
      </w:r>
    </w:p>
    <w:p w14:paraId="3D04D2B1" w14:textId="577D3485" w:rsidR="00A445F1" w:rsidRDefault="009E3FE2" w:rsidP="00E35E1D">
      <w:pPr>
        <w:pStyle w:val="Heading2"/>
      </w:pPr>
      <w:r>
        <w:t>The Isles of Scilly IFCA is seeking to purchase a Rigid Inflatable Boat (RIB)</w:t>
      </w:r>
      <w:r w:rsidR="00AD1AD3">
        <w:t xml:space="preserve"> and trailer</w:t>
      </w:r>
      <w:r>
        <w:t>. The craft needs to be tough and durable, able to operate as a patrol vessel and platform for research</w:t>
      </w:r>
      <w:r w:rsidR="00AD1AD3">
        <w:t xml:space="preserve"> around the Isles of Scilly</w:t>
      </w:r>
      <w:r>
        <w:t>. Operations vary widely but will include:</w:t>
      </w:r>
    </w:p>
    <w:p w14:paraId="78392450" w14:textId="77777777" w:rsidR="009E3FE2" w:rsidRPr="00B80B0E" w:rsidRDefault="009E3FE2" w:rsidP="00887C35">
      <w:pPr>
        <w:pStyle w:val="Default"/>
        <w:numPr>
          <w:ilvl w:val="0"/>
          <w:numId w:val="22"/>
        </w:numPr>
        <w:rPr>
          <w:szCs w:val="22"/>
        </w:rPr>
      </w:pPr>
      <w:r w:rsidRPr="00887C35">
        <w:rPr>
          <w:sz w:val="22"/>
          <w:szCs w:val="22"/>
        </w:rPr>
        <w:t>Coming alongside fishing vessels varying between 6m and 20m</w:t>
      </w:r>
    </w:p>
    <w:p w14:paraId="433311DD" w14:textId="77777777" w:rsidR="009E3FE2" w:rsidRPr="00B80B0E" w:rsidRDefault="009E3FE2" w:rsidP="00887C35">
      <w:pPr>
        <w:pStyle w:val="Default"/>
        <w:numPr>
          <w:ilvl w:val="0"/>
          <w:numId w:val="22"/>
        </w:numPr>
        <w:rPr>
          <w:szCs w:val="22"/>
        </w:rPr>
      </w:pPr>
      <w:r w:rsidRPr="00887C35">
        <w:rPr>
          <w:sz w:val="22"/>
          <w:szCs w:val="22"/>
        </w:rPr>
        <w:t>Deploying divers and snorkelers</w:t>
      </w:r>
    </w:p>
    <w:p w14:paraId="19412E6B" w14:textId="77777777" w:rsidR="009E3FE2" w:rsidRPr="00B80B0E" w:rsidRDefault="009E3FE2" w:rsidP="00887C35">
      <w:pPr>
        <w:pStyle w:val="Default"/>
        <w:numPr>
          <w:ilvl w:val="0"/>
          <w:numId w:val="22"/>
        </w:numPr>
        <w:rPr>
          <w:szCs w:val="22"/>
        </w:rPr>
      </w:pPr>
      <w:r w:rsidRPr="00887C35">
        <w:rPr>
          <w:sz w:val="22"/>
          <w:szCs w:val="22"/>
        </w:rPr>
        <w:t>Deploying towed vi</w:t>
      </w:r>
      <w:r w:rsidR="005030C3" w:rsidRPr="00887C35">
        <w:rPr>
          <w:sz w:val="22"/>
          <w:szCs w:val="22"/>
        </w:rPr>
        <w:t>deo cameras and drop down cameras</w:t>
      </w:r>
    </w:p>
    <w:p w14:paraId="749E7E42" w14:textId="77777777" w:rsidR="005030C3" w:rsidRPr="00B80B0E" w:rsidRDefault="005030C3" w:rsidP="00887C35">
      <w:pPr>
        <w:pStyle w:val="Default"/>
        <w:numPr>
          <w:ilvl w:val="0"/>
          <w:numId w:val="22"/>
        </w:numPr>
        <w:rPr>
          <w:szCs w:val="22"/>
        </w:rPr>
      </w:pPr>
      <w:r w:rsidRPr="00887C35">
        <w:rPr>
          <w:sz w:val="22"/>
          <w:szCs w:val="22"/>
        </w:rPr>
        <w:t>Hauling and retrieving fishing gear</w:t>
      </w:r>
    </w:p>
    <w:p w14:paraId="02AE696E" w14:textId="77777777" w:rsidR="003D5D4F" w:rsidRDefault="003D5D4F" w:rsidP="00AD1AD3">
      <w:pPr>
        <w:pStyle w:val="Default"/>
      </w:pPr>
    </w:p>
    <w:p w14:paraId="2F76F3C1" w14:textId="4B2C5017" w:rsidR="00AD1AD3" w:rsidRDefault="00AD1AD3" w:rsidP="00AD1AD3">
      <w:pPr>
        <w:pStyle w:val="Default"/>
        <w:rPr>
          <w:sz w:val="22"/>
          <w:szCs w:val="22"/>
        </w:rPr>
      </w:pPr>
      <w:r>
        <w:rPr>
          <w:sz w:val="22"/>
          <w:szCs w:val="22"/>
        </w:rPr>
        <w:t xml:space="preserve">The successful bidder is required to allow a final inspection visit from the Council of the Isles of Scilly which includes a sea trail. </w:t>
      </w:r>
    </w:p>
    <w:p w14:paraId="7E094E1B" w14:textId="0AE2440D" w:rsidR="008D33EB" w:rsidRPr="00887C35" w:rsidRDefault="003D5D4F" w:rsidP="00887C35">
      <w:pPr>
        <w:pStyle w:val="Heading2"/>
        <w:rPr>
          <w:b/>
        </w:rPr>
      </w:pPr>
      <w:r>
        <w:rPr>
          <w:b/>
        </w:rPr>
        <w:t xml:space="preserve">Boat </w:t>
      </w:r>
      <w:r w:rsidR="008D33EB" w:rsidRPr="00887C35">
        <w:rPr>
          <w:b/>
        </w:rPr>
        <w:t>Design</w:t>
      </w:r>
    </w:p>
    <w:p w14:paraId="2AF56A40" w14:textId="66EAFB24" w:rsidR="008D33EB" w:rsidRDefault="008D33EB" w:rsidP="00AD1AD3">
      <w:pPr>
        <w:pStyle w:val="Default"/>
        <w:rPr>
          <w:sz w:val="22"/>
          <w:szCs w:val="22"/>
        </w:rPr>
      </w:pPr>
    </w:p>
    <w:p w14:paraId="5FB1714A" w14:textId="0EFE6DE5" w:rsidR="008D33EB" w:rsidRDefault="008D33EB" w:rsidP="00887C35">
      <w:pPr>
        <w:pStyle w:val="Default"/>
        <w:numPr>
          <w:ilvl w:val="0"/>
          <w:numId w:val="22"/>
        </w:numPr>
        <w:rPr>
          <w:sz w:val="22"/>
          <w:szCs w:val="22"/>
        </w:rPr>
      </w:pPr>
      <w:r>
        <w:rPr>
          <w:sz w:val="22"/>
          <w:szCs w:val="22"/>
        </w:rPr>
        <w:t>The craft structure must be coded to Category 3</w:t>
      </w:r>
      <w:r w:rsidR="005D45F7">
        <w:rPr>
          <w:sz w:val="22"/>
          <w:szCs w:val="22"/>
        </w:rPr>
        <w:t>r</w:t>
      </w:r>
      <w:r>
        <w:rPr>
          <w:sz w:val="22"/>
          <w:szCs w:val="22"/>
        </w:rPr>
        <w:t xml:space="preserve"> MCA commercial level</w:t>
      </w:r>
    </w:p>
    <w:p w14:paraId="04AF9902" w14:textId="548C4F10" w:rsidR="008D33EB" w:rsidRDefault="008D33EB" w:rsidP="00887C35">
      <w:pPr>
        <w:pStyle w:val="Default"/>
        <w:numPr>
          <w:ilvl w:val="0"/>
          <w:numId w:val="22"/>
        </w:numPr>
        <w:rPr>
          <w:sz w:val="22"/>
          <w:szCs w:val="22"/>
        </w:rPr>
      </w:pPr>
      <w:r w:rsidRPr="008D33EB">
        <w:rPr>
          <w:sz w:val="22"/>
          <w:szCs w:val="22"/>
        </w:rPr>
        <w:t xml:space="preserve">The craft must be constructed of material proven to be suitable for operation </w:t>
      </w:r>
      <w:r>
        <w:rPr>
          <w:sz w:val="22"/>
          <w:szCs w:val="22"/>
        </w:rPr>
        <w:t xml:space="preserve">in the Isles of Scilly </w:t>
      </w:r>
      <w:r w:rsidRPr="008D33EB">
        <w:rPr>
          <w:sz w:val="22"/>
          <w:szCs w:val="22"/>
        </w:rPr>
        <w:t>region and high UV environment.</w:t>
      </w:r>
    </w:p>
    <w:p w14:paraId="3E59132F" w14:textId="5BF796B9" w:rsidR="008D33EB" w:rsidRDefault="008D33EB" w:rsidP="00887C35">
      <w:pPr>
        <w:pStyle w:val="Default"/>
        <w:numPr>
          <w:ilvl w:val="0"/>
          <w:numId w:val="22"/>
        </w:numPr>
        <w:rPr>
          <w:sz w:val="22"/>
          <w:szCs w:val="22"/>
        </w:rPr>
      </w:pPr>
      <w:r w:rsidRPr="008D33EB">
        <w:rPr>
          <w:sz w:val="22"/>
          <w:szCs w:val="22"/>
        </w:rPr>
        <w:t>The craft must be durable to withstand the full range of operations.</w:t>
      </w:r>
    </w:p>
    <w:p w14:paraId="445E30D1" w14:textId="0C597F4E" w:rsidR="008D33EB" w:rsidRDefault="008D33EB" w:rsidP="00887C35">
      <w:pPr>
        <w:pStyle w:val="Default"/>
        <w:numPr>
          <w:ilvl w:val="0"/>
          <w:numId w:val="22"/>
        </w:numPr>
        <w:rPr>
          <w:sz w:val="22"/>
          <w:szCs w:val="22"/>
        </w:rPr>
      </w:pPr>
      <w:r>
        <w:rPr>
          <w:sz w:val="22"/>
          <w:szCs w:val="22"/>
        </w:rPr>
        <w:t>As a minimum the craft must include the listed items in specification detail (Annex B)</w:t>
      </w:r>
    </w:p>
    <w:p w14:paraId="60758815" w14:textId="6C045C4D" w:rsidR="001D168B" w:rsidRDefault="001D168B" w:rsidP="00887C35">
      <w:pPr>
        <w:pStyle w:val="Default"/>
        <w:numPr>
          <w:ilvl w:val="0"/>
          <w:numId w:val="22"/>
        </w:numPr>
        <w:rPr>
          <w:sz w:val="22"/>
          <w:szCs w:val="22"/>
        </w:rPr>
      </w:pPr>
      <w:r>
        <w:rPr>
          <w:sz w:val="22"/>
          <w:szCs w:val="22"/>
        </w:rPr>
        <w:t>The craft must</w:t>
      </w:r>
      <w:r w:rsidR="005B731A">
        <w:rPr>
          <w:sz w:val="22"/>
          <w:szCs w:val="22"/>
        </w:rPr>
        <w:t xml:space="preserve"> have a stern mounted pot hauler (supplied by the Council of the Isles of Scilly)</w:t>
      </w:r>
    </w:p>
    <w:p w14:paraId="7D5B271F" w14:textId="748FAAEF" w:rsidR="008D33EB" w:rsidRDefault="008D33EB" w:rsidP="008D33EB">
      <w:pPr>
        <w:pStyle w:val="Default"/>
        <w:rPr>
          <w:color w:val="auto"/>
        </w:rPr>
      </w:pPr>
    </w:p>
    <w:p w14:paraId="469D8145" w14:textId="5078B81A" w:rsidR="003D5D4F" w:rsidRDefault="003D5D4F" w:rsidP="00887C35">
      <w:pPr>
        <w:pStyle w:val="Heading2"/>
        <w:rPr>
          <w:b/>
        </w:rPr>
      </w:pPr>
      <w:r w:rsidRPr="00887C35">
        <w:rPr>
          <w:b/>
        </w:rPr>
        <w:t>Boat Trailer</w:t>
      </w:r>
    </w:p>
    <w:p w14:paraId="423B90C4" w14:textId="60191DDE" w:rsidR="003D5D4F" w:rsidRPr="00887C35" w:rsidRDefault="003D5D4F" w:rsidP="00887C35">
      <w:pPr>
        <w:pStyle w:val="Default"/>
        <w:numPr>
          <w:ilvl w:val="0"/>
          <w:numId w:val="22"/>
        </w:numPr>
        <w:rPr>
          <w:bCs/>
          <w:iCs/>
          <w:color w:val="auto"/>
          <w:sz w:val="22"/>
          <w:szCs w:val="28"/>
          <w:lang w:eastAsia="en-US"/>
        </w:rPr>
      </w:pPr>
      <w:r w:rsidRPr="00887C35">
        <w:rPr>
          <w:bCs/>
          <w:iCs/>
          <w:color w:val="auto"/>
          <w:sz w:val="22"/>
          <w:szCs w:val="28"/>
          <w:lang w:eastAsia="en-US"/>
        </w:rPr>
        <w:t xml:space="preserve">The trailer must be an appropriate size to </w:t>
      </w:r>
      <w:r w:rsidR="001D168B">
        <w:rPr>
          <w:bCs/>
          <w:iCs/>
          <w:color w:val="auto"/>
          <w:sz w:val="22"/>
          <w:szCs w:val="28"/>
          <w:lang w:eastAsia="en-US"/>
        </w:rPr>
        <w:t>accommodate</w:t>
      </w:r>
      <w:r w:rsidRPr="00887C35">
        <w:rPr>
          <w:bCs/>
          <w:iCs/>
          <w:color w:val="auto"/>
          <w:sz w:val="22"/>
          <w:szCs w:val="28"/>
          <w:lang w:eastAsia="en-US"/>
        </w:rPr>
        <w:t xml:space="preserve"> the boat</w:t>
      </w:r>
    </w:p>
    <w:p w14:paraId="02D5B217" w14:textId="258FA06F" w:rsidR="003D5D4F" w:rsidRDefault="003D5D4F" w:rsidP="00887C35">
      <w:pPr>
        <w:pStyle w:val="Default"/>
        <w:numPr>
          <w:ilvl w:val="0"/>
          <w:numId w:val="22"/>
        </w:numPr>
        <w:rPr>
          <w:bCs/>
          <w:iCs/>
          <w:color w:val="auto"/>
          <w:sz w:val="22"/>
          <w:szCs w:val="28"/>
          <w:lang w:eastAsia="en-US"/>
        </w:rPr>
      </w:pPr>
      <w:r w:rsidRPr="00887C35">
        <w:rPr>
          <w:bCs/>
          <w:iCs/>
          <w:color w:val="auto"/>
          <w:sz w:val="22"/>
          <w:szCs w:val="28"/>
          <w:lang w:eastAsia="en-US"/>
        </w:rPr>
        <w:t xml:space="preserve">The </w:t>
      </w:r>
      <w:r>
        <w:rPr>
          <w:bCs/>
          <w:iCs/>
          <w:color w:val="auto"/>
          <w:sz w:val="22"/>
          <w:szCs w:val="28"/>
          <w:lang w:eastAsia="en-US"/>
        </w:rPr>
        <w:t xml:space="preserve">trailer must contain all necessary fittings for it to be able to be </w:t>
      </w:r>
      <w:r w:rsidR="001D168B">
        <w:rPr>
          <w:bCs/>
          <w:iCs/>
          <w:color w:val="auto"/>
          <w:sz w:val="22"/>
          <w:szCs w:val="28"/>
          <w:lang w:eastAsia="en-US"/>
        </w:rPr>
        <w:t xml:space="preserve">legally </w:t>
      </w:r>
      <w:r>
        <w:rPr>
          <w:bCs/>
          <w:iCs/>
          <w:color w:val="auto"/>
          <w:sz w:val="22"/>
          <w:szCs w:val="28"/>
          <w:lang w:eastAsia="en-US"/>
        </w:rPr>
        <w:t>towed on a UK road</w:t>
      </w:r>
    </w:p>
    <w:p w14:paraId="0D7EC5CF" w14:textId="7DA9DD16" w:rsidR="003D5D4F" w:rsidRDefault="003D5D4F" w:rsidP="00887C35">
      <w:pPr>
        <w:pStyle w:val="Default"/>
        <w:numPr>
          <w:ilvl w:val="0"/>
          <w:numId w:val="22"/>
        </w:numPr>
        <w:rPr>
          <w:bCs/>
          <w:iCs/>
          <w:color w:val="auto"/>
          <w:sz w:val="22"/>
          <w:szCs w:val="28"/>
          <w:lang w:eastAsia="en-US"/>
        </w:rPr>
      </w:pPr>
      <w:r>
        <w:rPr>
          <w:bCs/>
          <w:iCs/>
          <w:color w:val="auto"/>
          <w:sz w:val="22"/>
          <w:szCs w:val="28"/>
          <w:lang w:eastAsia="en-US"/>
        </w:rPr>
        <w:t>The trailer mus</w:t>
      </w:r>
      <w:r w:rsidR="00B30F03">
        <w:rPr>
          <w:bCs/>
          <w:iCs/>
          <w:color w:val="auto"/>
          <w:sz w:val="22"/>
          <w:szCs w:val="28"/>
          <w:lang w:eastAsia="en-US"/>
        </w:rPr>
        <w:t xml:space="preserve">t be constructed from a galvanised metal or other </w:t>
      </w:r>
      <w:r w:rsidR="001D168B">
        <w:rPr>
          <w:bCs/>
          <w:iCs/>
          <w:color w:val="auto"/>
          <w:sz w:val="22"/>
          <w:szCs w:val="28"/>
          <w:lang w:eastAsia="en-US"/>
        </w:rPr>
        <w:t>suitable material</w:t>
      </w:r>
      <w:r w:rsidR="00B30F03">
        <w:rPr>
          <w:bCs/>
          <w:iCs/>
          <w:color w:val="auto"/>
          <w:sz w:val="22"/>
          <w:szCs w:val="28"/>
          <w:lang w:eastAsia="en-US"/>
        </w:rPr>
        <w:t xml:space="preserve"> that inhibits corrosion</w:t>
      </w:r>
    </w:p>
    <w:p w14:paraId="7893A17B" w14:textId="06059FFA" w:rsidR="005B731A" w:rsidRPr="00887C35" w:rsidRDefault="005B731A" w:rsidP="00887C35">
      <w:pPr>
        <w:pStyle w:val="Default"/>
        <w:numPr>
          <w:ilvl w:val="0"/>
          <w:numId w:val="22"/>
        </w:numPr>
        <w:rPr>
          <w:bCs/>
          <w:iCs/>
          <w:color w:val="auto"/>
          <w:sz w:val="22"/>
          <w:szCs w:val="28"/>
          <w:lang w:eastAsia="en-US"/>
        </w:rPr>
      </w:pPr>
      <w:r>
        <w:rPr>
          <w:bCs/>
          <w:iCs/>
          <w:color w:val="auto"/>
          <w:sz w:val="22"/>
          <w:szCs w:val="28"/>
          <w:lang w:eastAsia="en-US"/>
        </w:rPr>
        <w:t xml:space="preserve">The trailer must have a </w:t>
      </w:r>
      <w:r w:rsidR="005D45F7">
        <w:rPr>
          <w:bCs/>
          <w:iCs/>
          <w:color w:val="auto"/>
          <w:sz w:val="22"/>
          <w:szCs w:val="28"/>
          <w:lang w:eastAsia="en-US"/>
        </w:rPr>
        <w:t>ball hitch</w:t>
      </w:r>
      <w:r>
        <w:rPr>
          <w:bCs/>
          <w:iCs/>
          <w:color w:val="auto"/>
          <w:sz w:val="22"/>
          <w:szCs w:val="28"/>
          <w:lang w:eastAsia="en-US"/>
        </w:rPr>
        <w:t xml:space="preserve"> connection </w:t>
      </w:r>
    </w:p>
    <w:p w14:paraId="27D8E214" w14:textId="77777777" w:rsidR="008D33EB" w:rsidRDefault="008D33EB" w:rsidP="00887C35">
      <w:pPr>
        <w:pStyle w:val="Heading2"/>
        <w:rPr>
          <w:b/>
        </w:rPr>
      </w:pPr>
      <w:r w:rsidRPr="00B80B0E">
        <w:rPr>
          <w:b/>
        </w:rPr>
        <w:t>Maint</w:t>
      </w:r>
      <w:r>
        <w:rPr>
          <w:b/>
        </w:rPr>
        <w:t>e</w:t>
      </w:r>
      <w:r w:rsidRPr="00B80B0E">
        <w:rPr>
          <w:b/>
        </w:rPr>
        <w:t>n</w:t>
      </w:r>
      <w:r>
        <w:rPr>
          <w:b/>
        </w:rPr>
        <w:t>a</w:t>
      </w:r>
      <w:r w:rsidRPr="00B80B0E">
        <w:rPr>
          <w:b/>
        </w:rPr>
        <w:t>nce</w:t>
      </w:r>
    </w:p>
    <w:p w14:paraId="68399F12" w14:textId="2CBA7680" w:rsidR="008D33EB" w:rsidRDefault="008D33EB" w:rsidP="00887C35">
      <w:pPr>
        <w:pStyle w:val="Heading2"/>
        <w:numPr>
          <w:ilvl w:val="0"/>
          <w:numId w:val="23"/>
        </w:numPr>
      </w:pPr>
      <w:r w:rsidRPr="00887C35">
        <w:t xml:space="preserve">The craft </w:t>
      </w:r>
      <w:r>
        <w:t xml:space="preserve">should be constructed and equipped to allow maintenance </w:t>
      </w:r>
      <w:r w:rsidR="001D168B">
        <w:t xml:space="preserve">and servicing </w:t>
      </w:r>
      <w:r>
        <w:t xml:space="preserve">to be carried out on </w:t>
      </w:r>
      <w:r w:rsidR="00B30F03">
        <w:t>I</w:t>
      </w:r>
      <w:r w:rsidR="003D5D4F">
        <w:t xml:space="preserve">sles of </w:t>
      </w:r>
      <w:r w:rsidR="00B30F03">
        <w:t>Scilly</w:t>
      </w:r>
    </w:p>
    <w:p w14:paraId="6D858DC5" w14:textId="2F43D00C" w:rsidR="003D5D4F" w:rsidRDefault="003D5D4F" w:rsidP="00887C35">
      <w:pPr>
        <w:pStyle w:val="Heading2"/>
        <w:rPr>
          <w:b/>
        </w:rPr>
      </w:pPr>
      <w:r w:rsidRPr="00887C35">
        <w:rPr>
          <w:b/>
        </w:rPr>
        <w:t>Warranty</w:t>
      </w:r>
    </w:p>
    <w:p w14:paraId="43AC865F" w14:textId="08FC08D2" w:rsidR="003D5D4F" w:rsidRDefault="003D5D4F" w:rsidP="00887C35">
      <w:pPr>
        <w:pStyle w:val="Heading2"/>
        <w:numPr>
          <w:ilvl w:val="0"/>
          <w:numId w:val="23"/>
        </w:numPr>
      </w:pPr>
      <w:r w:rsidRPr="00B80B0E">
        <w:t xml:space="preserve">The hull must come with a minimum </w:t>
      </w:r>
      <w:r w:rsidR="00B30F03">
        <w:t>3</w:t>
      </w:r>
      <w:r w:rsidRPr="00B80B0E">
        <w:t xml:space="preserve"> year warranty. Longer warranty periods are preferred. </w:t>
      </w:r>
    </w:p>
    <w:p w14:paraId="16D634AE" w14:textId="6BE6088A" w:rsidR="00B30F03" w:rsidRPr="00887C35" w:rsidRDefault="00B30F03" w:rsidP="00887C35">
      <w:pPr>
        <w:pStyle w:val="Heading2"/>
        <w:rPr>
          <w:b/>
        </w:rPr>
      </w:pPr>
      <w:r w:rsidRPr="00B80B0E">
        <w:rPr>
          <w:b/>
        </w:rPr>
        <w:t>Safety</w:t>
      </w:r>
    </w:p>
    <w:p w14:paraId="77699536" w14:textId="793CFDFA" w:rsidR="00B30F03" w:rsidRPr="00B80B0E" w:rsidRDefault="00B30F03" w:rsidP="00887C35">
      <w:pPr>
        <w:pStyle w:val="ListParagraph"/>
        <w:numPr>
          <w:ilvl w:val="0"/>
          <w:numId w:val="23"/>
        </w:numPr>
      </w:pPr>
      <w:r w:rsidRPr="00B30F03">
        <w:t>The craft must be supplied with suitable fire extinguishers to meet the requirements of ISO 9094:2015.</w:t>
      </w:r>
    </w:p>
    <w:p w14:paraId="1A6346FB" w14:textId="77777777" w:rsidR="003D5D4F" w:rsidRDefault="003D5D4F" w:rsidP="00887C35">
      <w:pPr>
        <w:pStyle w:val="Heading2"/>
        <w:rPr>
          <w:b/>
        </w:rPr>
      </w:pPr>
      <w:r w:rsidRPr="00887C35">
        <w:rPr>
          <w:b/>
        </w:rPr>
        <w:t>Delivery</w:t>
      </w:r>
    </w:p>
    <w:p w14:paraId="12BC56CA" w14:textId="6F93BE4A" w:rsidR="00B30F03" w:rsidRPr="00887C35" w:rsidRDefault="00B30F03" w:rsidP="00887C35">
      <w:pPr>
        <w:pStyle w:val="Default"/>
        <w:numPr>
          <w:ilvl w:val="0"/>
          <w:numId w:val="22"/>
        </w:numPr>
        <w:rPr>
          <w:sz w:val="22"/>
          <w:szCs w:val="22"/>
        </w:rPr>
      </w:pPr>
      <w:r>
        <w:rPr>
          <w:sz w:val="22"/>
          <w:szCs w:val="22"/>
        </w:rPr>
        <w:lastRenderedPageBreak/>
        <w:t xml:space="preserve">The winning bidder must arrange to deliver the boa  </w:t>
      </w:r>
    </w:p>
    <w:p w14:paraId="3E707C68" w14:textId="527F5CE0" w:rsidR="00B30F03" w:rsidRPr="00887C35" w:rsidRDefault="003D5D4F" w:rsidP="00887C35">
      <w:pPr>
        <w:pStyle w:val="Default"/>
        <w:numPr>
          <w:ilvl w:val="0"/>
          <w:numId w:val="22"/>
        </w:numPr>
        <w:rPr>
          <w:bCs/>
          <w:iCs/>
          <w:color w:val="auto"/>
          <w:sz w:val="22"/>
          <w:szCs w:val="28"/>
          <w:lang w:eastAsia="en-US"/>
        </w:rPr>
      </w:pPr>
      <w:r w:rsidRPr="00887C35">
        <w:rPr>
          <w:bCs/>
          <w:iCs/>
          <w:color w:val="auto"/>
          <w:sz w:val="22"/>
          <w:szCs w:val="28"/>
          <w:lang w:eastAsia="en-US"/>
        </w:rPr>
        <w:t xml:space="preserve">Delivery to </w:t>
      </w:r>
      <w:r w:rsidR="005B731A" w:rsidRPr="00887C35">
        <w:rPr>
          <w:bCs/>
          <w:iCs/>
          <w:color w:val="auto"/>
          <w:sz w:val="22"/>
          <w:szCs w:val="28"/>
          <w:lang w:eastAsia="en-US"/>
        </w:rPr>
        <w:t>THE RANKS BUILDING, NORTH ARM QUAY</w:t>
      </w:r>
      <w:r w:rsidR="00B30F03" w:rsidRPr="00887C35">
        <w:rPr>
          <w:bCs/>
          <w:iCs/>
          <w:color w:val="auto"/>
          <w:sz w:val="22"/>
          <w:szCs w:val="28"/>
          <w:lang w:eastAsia="en-US"/>
        </w:rPr>
        <w:t xml:space="preserve">, </w:t>
      </w:r>
      <w:r w:rsidR="005B731A" w:rsidRPr="00887C35">
        <w:rPr>
          <w:bCs/>
          <w:iCs/>
          <w:color w:val="auto"/>
          <w:sz w:val="22"/>
          <w:szCs w:val="28"/>
          <w:lang w:eastAsia="en-US"/>
        </w:rPr>
        <w:t>TR18 4AH Penzance Cornwall England</w:t>
      </w:r>
      <w:r w:rsidR="00B30F03" w:rsidRPr="00887C35">
        <w:rPr>
          <w:bCs/>
          <w:iCs/>
          <w:color w:val="auto"/>
          <w:sz w:val="22"/>
          <w:szCs w:val="28"/>
          <w:lang w:eastAsia="en-US"/>
        </w:rPr>
        <w:t xml:space="preserve"> </w:t>
      </w:r>
      <w:r w:rsidRPr="00887C35">
        <w:rPr>
          <w:bCs/>
          <w:iCs/>
          <w:color w:val="auto"/>
          <w:sz w:val="22"/>
          <w:szCs w:val="28"/>
          <w:lang w:eastAsia="en-US"/>
        </w:rPr>
        <w:t xml:space="preserve">by </w:t>
      </w:r>
      <w:r w:rsidR="00B30F03">
        <w:rPr>
          <w:bCs/>
          <w:iCs/>
          <w:color w:val="auto"/>
          <w:sz w:val="22"/>
          <w:szCs w:val="28"/>
          <w:lang w:eastAsia="en-US"/>
        </w:rPr>
        <w:t>20</w:t>
      </w:r>
      <w:r w:rsidRPr="00887C35">
        <w:rPr>
          <w:bCs/>
          <w:iCs/>
          <w:color w:val="auto"/>
          <w:sz w:val="22"/>
          <w:szCs w:val="28"/>
          <w:lang w:eastAsia="en-US"/>
        </w:rPr>
        <w:t xml:space="preserve">th </w:t>
      </w:r>
      <w:r w:rsidR="00B30F03">
        <w:rPr>
          <w:bCs/>
          <w:iCs/>
          <w:color w:val="auto"/>
          <w:sz w:val="22"/>
          <w:szCs w:val="28"/>
          <w:lang w:eastAsia="en-US"/>
        </w:rPr>
        <w:t>March</w:t>
      </w:r>
      <w:r w:rsidRPr="00887C35">
        <w:rPr>
          <w:bCs/>
          <w:iCs/>
          <w:color w:val="auto"/>
          <w:sz w:val="22"/>
          <w:szCs w:val="28"/>
          <w:lang w:eastAsia="en-US"/>
        </w:rPr>
        <w:t xml:space="preserve"> 201</w:t>
      </w:r>
      <w:r w:rsidR="00B30F03">
        <w:rPr>
          <w:bCs/>
          <w:iCs/>
          <w:color w:val="auto"/>
          <w:sz w:val="22"/>
          <w:szCs w:val="28"/>
          <w:lang w:eastAsia="en-US"/>
        </w:rPr>
        <w:t>9</w:t>
      </w:r>
      <w:r w:rsidRPr="00887C35">
        <w:rPr>
          <w:bCs/>
          <w:iCs/>
          <w:color w:val="auto"/>
          <w:sz w:val="22"/>
          <w:szCs w:val="28"/>
          <w:lang w:eastAsia="en-US"/>
        </w:rPr>
        <w:t>.</w:t>
      </w:r>
    </w:p>
    <w:p w14:paraId="3FEF3009" w14:textId="0AFE18F9" w:rsidR="00B30F03" w:rsidRDefault="00B30F03" w:rsidP="00887C35">
      <w:pPr>
        <w:pStyle w:val="Default"/>
        <w:numPr>
          <w:ilvl w:val="0"/>
          <w:numId w:val="22"/>
        </w:numPr>
        <w:rPr>
          <w:sz w:val="22"/>
          <w:szCs w:val="22"/>
        </w:rPr>
      </w:pPr>
      <w:r w:rsidRPr="00887C35">
        <w:rPr>
          <w:bCs/>
          <w:iCs/>
          <w:color w:val="auto"/>
          <w:sz w:val="22"/>
          <w:szCs w:val="28"/>
          <w:lang w:eastAsia="en-US"/>
        </w:rPr>
        <w:t>The winning bidder</w:t>
      </w:r>
      <w:r>
        <w:rPr>
          <w:sz w:val="22"/>
          <w:szCs w:val="22"/>
        </w:rPr>
        <w:t xml:space="preserve"> must arrange, with the Isles of Scilly Steamship Company, the delivery date to Penzance Quay and subsequent freighted delivery to the Isles of Scilly (the cost of transport from Penzance Quay to the Isles of Scilly will be borne by the Council of the Isles of Scilly and should not be price</w:t>
      </w:r>
      <w:r w:rsidR="005D45F7">
        <w:rPr>
          <w:sz w:val="22"/>
          <w:szCs w:val="22"/>
        </w:rPr>
        <w:t>d</w:t>
      </w:r>
      <w:r>
        <w:rPr>
          <w:sz w:val="22"/>
          <w:szCs w:val="22"/>
        </w:rPr>
        <w:t xml:space="preserve"> for)</w:t>
      </w:r>
    </w:p>
    <w:p w14:paraId="3B69DDB4" w14:textId="3B0BE00A" w:rsidR="005B731A" w:rsidRDefault="005B731A" w:rsidP="00887C35">
      <w:pPr>
        <w:pStyle w:val="Default"/>
        <w:numPr>
          <w:ilvl w:val="0"/>
          <w:numId w:val="22"/>
        </w:numPr>
        <w:rPr>
          <w:sz w:val="22"/>
          <w:szCs w:val="22"/>
        </w:rPr>
      </w:pPr>
      <w:r>
        <w:rPr>
          <w:sz w:val="22"/>
          <w:szCs w:val="22"/>
        </w:rPr>
        <w:t>The boat and trailer must meet the necessary requirements to allow travel to the islands (</w:t>
      </w:r>
      <w:hyperlink r:id="rId17" w:history="1">
        <w:r w:rsidRPr="009C51AC">
          <w:rPr>
            <w:rStyle w:val="Hyperlink"/>
            <w:sz w:val="22"/>
            <w:szCs w:val="22"/>
          </w:rPr>
          <w:t>https://www.islesofscilly-travel.co.uk/islander-news-and-booking/freight-information/</w:t>
        </w:r>
      </w:hyperlink>
      <w:r>
        <w:rPr>
          <w:sz w:val="22"/>
          <w:szCs w:val="22"/>
        </w:rPr>
        <w:t>)</w:t>
      </w:r>
    </w:p>
    <w:p w14:paraId="394B3D79" w14:textId="507C3658" w:rsidR="003D5D4F" w:rsidRDefault="003D5D4F" w:rsidP="00887C35">
      <w:pPr>
        <w:pStyle w:val="Default"/>
        <w:numPr>
          <w:ilvl w:val="0"/>
          <w:numId w:val="22"/>
        </w:numPr>
        <w:rPr>
          <w:sz w:val="22"/>
          <w:szCs w:val="22"/>
        </w:rPr>
      </w:pPr>
      <w:r w:rsidRPr="00887C35">
        <w:rPr>
          <w:sz w:val="22"/>
          <w:szCs w:val="22"/>
        </w:rPr>
        <w:t xml:space="preserve">The boat and trailer must be delivered ready for immediate operation, minus fuel. </w:t>
      </w:r>
    </w:p>
    <w:p w14:paraId="483D9CCB" w14:textId="21A9FFA0" w:rsidR="003D5D4F" w:rsidRDefault="003D5D4F" w:rsidP="00887C35">
      <w:pPr>
        <w:pStyle w:val="Default"/>
        <w:numPr>
          <w:ilvl w:val="0"/>
          <w:numId w:val="22"/>
        </w:numPr>
        <w:rPr>
          <w:sz w:val="22"/>
          <w:szCs w:val="22"/>
        </w:rPr>
      </w:pPr>
      <w:r>
        <w:rPr>
          <w:sz w:val="22"/>
          <w:szCs w:val="22"/>
        </w:rPr>
        <w:t xml:space="preserve">The use of </w:t>
      </w:r>
      <w:r w:rsidRPr="003D5D4F">
        <w:rPr>
          <w:sz w:val="22"/>
          <w:szCs w:val="22"/>
        </w:rPr>
        <w:t>polystyrene</w:t>
      </w:r>
      <w:r>
        <w:rPr>
          <w:sz w:val="22"/>
          <w:szCs w:val="22"/>
        </w:rPr>
        <w:t xml:space="preserve"> in packaging is strictly prohibited</w:t>
      </w:r>
    </w:p>
    <w:p w14:paraId="4CD6F0C1" w14:textId="7D6A05BB" w:rsidR="003D5D4F" w:rsidRPr="00887C35" w:rsidRDefault="003D5D4F" w:rsidP="00887C35">
      <w:pPr>
        <w:pStyle w:val="Default"/>
        <w:numPr>
          <w:ilvl w:val="0"/>
          <w:numId w:val="22"/>
        </w:numPr>
        <w:rPr>
          <w:sz w:val="22"/>
          <w:szCs w:val="22"/>
        </w:rPr>
      </w:pPr>
      <w:r>
        <w:rPr>
          <w:sz w:val="22"/>
          <w:szCs w:val="22"/>
        </w:rPr>
        <w:t>The use of plastic in packaging should be kept to a minimum</w:t>
      </w:r>
      <w:r w:rsidR="006A7C4C">
        <w:rPr>
          <w:sz w:val="22"/>
          <w:szCs w:val="22"/>
        </w:rPr>
        <w:t>,</w:t>
      </w:r>
      <w:r>
        <w:rPr>
          <w:sz w:val="22"/>
          <w:szCs w:val="22"/>
        </w:rPr>
        <w:t xml:space="preserve"> particularly single use plastic </w:t>
      </w:r>
    </w:p>
    <w:p w14:paraId="31E262DA" w14:textId="77777777" w:rsidR="003D5D4F" w:rsidRPr="00B80B0E" w:rsidRDefault="003D5D4F" w:rsidP="00887C35"/>
    <w:p w14:paraId="7742ABD3" w14:textId="77777777" w:rsidR="003D5D4F" w:rsidRPr="00B80B0E" w:rsidRDefault="003D5D4F" w:rsidP="00887C35"/>
    <w:p w14:paraId="6BCACE71" w14:textId="77777777" w:rsidR="00C17019" w:rsidRDefault="00C17019" w:rsidP="00C17019"/>
    <w:p w14:paraId="5E5EAF86" w14:textId="77777777" w:rsidR="00C17019" w:rsidRDefault="00C17019" w:rsidP="00C17019"/>
    <w:p w14:paraId="718085DD" w14:textId="77777777" w:rsidR="00C17019" w:rsidRDefault="00C17019" w:rsidP="00C17019"/>
    <w:p w14:paraId="6A9C557C" w14:textId="77777777" w:rsidR="00C17019" w:rsidRDefault="00C17019" w:rsidP="00C17019"/>
    <w:p w14:paraId="0A886CF6" w14:textId="77777777" w:rsidR="00C17019" w:rsidRDefault="00C17019" w:rsidP="00C17019"/>
    <w:p w14:paraId="2EC8D6F6" w14:textId="77777777" w:rsidR="00C17019" w:rsidRDefault="00C17019" w:rsidP="00C17019"/>
    <w:p w14:paraId="69EB5AAE" w14:textId="77777777" w:rsidR="00C17019" w:rsidRDefault="00C17019" w:rsidP="00C17019"/>
    <w:p w14:paraId="0502B1B6" w14:textId="77777777" w:rsidR="00C17019" w:rsidRDefault="00C17019" w:rsidP="00C17019"/>
    <w:p w14:paraId="53684731" w14:textId="77777777" w:rsidR="00C17019" w:rsidRDefault="00C17019" w:rsidP="00C17019"/>
    <w:p w14:paraId="628005DB" w14:textId="77777777" w:rsidR="00C17019" w:rsidRDefault="00C17019" w:rsidP="00C17019"/>
    <w:p w14:paraId="646D8157" w14:textId="77777777" w:rsidR="00C17019" w:rsidRDefault="00C17019" w:rsidP="00C17019"/>
    <w:p w14:paraId="5807DE31" w14:textId="77777777" w:rsidR="00C17019" w:rsidRDefault="00C17019" w:rsidP="00C17019"/>
    <w:p w14:paraId="40E3D3BE" w14:textId="77777777" w:rsidR="00C17019" w:rsidRPr="00C17019" w:rsidRDefault="00C17019" w:rsidP="00C17019"/>
    <w:p w14:paraId="7F3F06F9" w14:textId="77777777" w:rsidR="00F60ADB" w:rsidRDefault="00F60ADB" w:rsidP="00E35E1D"/>
    <w:p w14:paraId="2FFB6E54" w14:textId="77777777" w:rsidR="00C17019" w:rsidRDefault="00C17019" w:rsidP="00E35E1D">
      <w:pPr>
        <w:sectPr w:rsidR="00C17019" w:rsidSect="00644DE3">
          <w:headerReference w:type="default" r:id="rId18"/>
          <w:footerReference w:type="default" r:id="rId19"/>
          <w:pgSz w:w="11907" w:h="16840" w:code="9"/>
          <w:pgMar w:top="1440" w:right="1467" w:bottom="1440" w:left="1440" w:header="709" w:footer="85" w:gutter="0"/>
          <w:cols w:space="708"/>
          <w:titlePg/>
          <w:docGrid w:linePitch="360"/>
        </w:sectPr>
      </w:pPr>
    </w:p>
    <w:p w14:paraId="5BC44755" w14:textId="77777777" w:rsidR="00C17019" w:rsidRDefault="00C17019" w:rsidP="000B0C83">
      <w:pPr>
        <w:pStyle w:val="Heading1"/>
        <w:numPr>
          <w:ilvl w:val="0"/>
          <w:numId w:val="14"/>
        </w:numPr>
      </w:pPr>
      <w:r>
        <w:lastRenderedPageBreak/>
        <w:t>Draft Contract</w:t>
      </w:r>
    </w:p>
    <w:p w14:paraId="13F17846" w14:textId="77777777" w:rsidR="00F60ADB" w:rsidRPr="00F20A18" w:rsidRDefault="00F20A18" w:rsidP="00F20A18">
      <w:pPr>
        <w:pStyle w:val="BodyText"/>
        <w:numPr>
          <w:ilvl w:val="0"/>
          <w:numId w:val="0"/>
        </w:numPr>
        <w:spacing w:line="360" w:lineRule="auto"/>
        <w:rPr>
          <w:b/>
        </w:rPr>
      </w:pPr>
      <w:r w:rsidRPr="00F20A18">
        <w:rPr>
          <w:b/>
        </w:rPr>
        <w:t>Please see draft contract within the tender pack</w:t>
      </w:r>
    </w:p>
    <w:sectPr w:rsidR="00F60ADB" w:rsidRPr="00F20A18" w:rsidSect="00644DE3">
      <w:headerReference w:type="even" r:id="rId20"/>
      <w:headerReference w:type="default" r:id="rId21"/>
      <w:footerReference w:type="even" r:id="rId22"/>
      <w:footerReference w:type="default" r:id="rId23"/>
      <w:headerReference w:type="first" r:id="rId24"/>
      <w:footerReference w:type="first" r:id="rId25"/>
      <w:pgSz w:w="11907" w:h="16840" w:code="9"/>
      <w:pgMar w:top="46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B10FB" w14:textId="77777777" w:rsidR="00FF201D" w:rsidRDefault="00FF201D">
      <w:r>
        <w:separator/>
      </w:r>
    </w:p>
  </w:endnote>
  <w:endnote w:type="continuationSeparator" w:id="0">
    <w:p w14:paraId="6F811E53" w14:textId="77777777" w:rsidR="00FF201D" w:rsidRDefault="00FF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LT Std 45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3983C" w14:textId="32A0ED57" w:rsidR="002414B8" w:rsidRPr="00943E64" w:rsidRDefault="002414B8" w:rsidP="00713151">
    <w:pPr>
      <w:pStyle w:val="Header"/>
    </w:pPr>
    <w:r>
      <w:t xml:space="preserve">                                                                                             ITT </w:t>
    </w:r>
    <w:r w:rsidRPr="00943E64">
      <w:t xml:space="preserve">Page </w:t>
    </w:r>
    <w:r w:rsidRPr="00943E64">
      <w:fldChar w:fldCharType="begin"/>
    </w:r>
    <w:r w:rsidRPr="00943E64">
      <w:instrText xml:space="preserve"> PAGE </w:instrText>
    </w:r>
    <w:r w:rsidRPr="00943E64">
      <w:fldChar w:fldCharType="separate"/>
    </w:r>
    <w:r w:rsidR="00A57997">
      <w:rPr>
        <w:noProof/>
      </w:rPr>
      <w:t>6</w:t>
    </w:r>
    <w:r w:rsidRPr="00943E64">
      <w:fldChar w:fldCharType="end"/>
    </w:r>
    <w:r w:rsidRPr="00943E64">
      <w:t xml:space="preserve"> of </w:t>
    </w:r>
    <w:r>
      <w:rPr>
        <w:noProof/>
      </w:rPr>
      <w:fldChar w:fldCharType="begin"/>
    </w:r>
    <w:r>
      <w:rPr>
        <w:noProof/>
      </w:rPr>
      <w:instrText xml:space="preserve"> NUMPAGES </w:instrText>
    </w:r>
    <w:r>
      <w:rPr>
        <w:noProof/>
      </w:rPr>
      <w:fldChar w:fldCharType="separate"/>
    </w:r>
    <w:r w:rsidR="00A57997">
      <w:rPr>
        <w:noProof/>
      </w:rPr>
      <w:t>26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9E7B0" w14:textId="77777777" w:rsidR="002414B8" w:rsidRDefault="002414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2A1FE8" w14:textId="77777777" w:rsidR="002414B8" w:rsidRDefault="002414B8">
    <w:pPr>
      <w:pStyle w:val="Footer"/>
      <w:ind w:right="360"/>
    </w:pPr>
    <w:proofErr w:type="gramStart"/>
    <w:r>
      <w:t xml:space="preserve">Page </w:t>
    </w:r>
    <w:r>
      <w:rPr>
        <w:rStyle w:val="PageNumber"/>
      </w:rPr>
      <w:t xml:space="preserve"> of</w:t>
    </w:r>
    <w:proofErr w:type="gramEnd"/>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noProof/>
      </w:rPr>
      <w:t>68</w:t>
    </w:r>
    <w:r>
      <w:rPr>
        <w:rStyle w:val="PageNumber"/>
      </w:rPr>
      <w:fldChar w:fldCharType="end"/>
    </w:r>
    <w:r>
      <w:rPr>
        <w:rStyle w:val="PageNumber"/>
      </w:rPr>
      <w:tab/>
      <w:t>Draft, Version 1.0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7539" w14:textId="734C9C1F" w:rsidR="002414B8" w:rsidRPr="00AD22DC" w:rsidRDefault="002414B8">
    <w:pPr>
      <w:pStyle w:val="Footer"/>
      <w:jc w:val="center"/>
      <w:rPr>
        <w:rFonts w:cs="Arial"/>
        <w:b/>
        <w:sz w:val="16"/>
        <w:szCs w:val="16"/>
      </w:rPr>
    </w:pPr>
    <w:r w:rsidRPr="00AD22DC">
      <w:rPr>
        <w:rFonts w:cs="Arial"/>
        <w:b/>
        <w:sz w:val="16"/>
        <w:szCs w:val="16"/>
      </w:rPr>
      <w:t xml:space="preserve">ITT Page </w:t>
    </w:r>
    <w:r w:rsidRPr="00AD22DC">
      <w:rPr>
        <w:rStyle w:val="PageNumber"/>
        <w:rFonts w:cs="Arial"/>
        <w:b/>
        <w:sz w:val="16"/>
        <w:szCs w:val="16"/>
      </w:rPr>
      <w:fldChar w:fldCharType="begin"/>
    </w:r>
    <w:r w:rsidRPr="00AD22DC">
      <w:rPr>
        <w:rStyle w:val="PageNumber"/>
        <w:rFonts w:cs="Arial"/>
        <w:b/>
        <w:sz w:val="16"/>
        <w:szCs w:val="16"/>
      </w:rPr>
      <w:instrText xml:space="preserve"> PAGE </w:instrText>
    </w:r>
    <w:r w:rsidRPr="00AD22DC">
      <w:rPr>
        <w:rStyle w:val="PageNumber"/>
        <w:rFonts w:cs="Arial"/>
        <w:b/>
        <w:sz w:val="16"/>
        <w:szCs w:val="16"/>
      </w:rPr>
      <w:fldChar w:fldCharType="separate"/>
    </w:r>
    <w:r w:rsidR="00A57997">
      <w:rPr>
        <w:rStyle w:val="PageNumber"/>
        <w:rFonts w:cs="Arial"/>
        <w:b/>
        <w:noProof/>
        <w:sz w:val="16"/>
        <w:szCs w:val="16"/>
      </w:rPr>
      <w:t>26</w:t>
    </w:r>
    <w:r w:rsidRPr="00AD22DC">
      <w:rPr>
        <w:rStyle w:val="PageNumber"/>
        <w:rFonts w:cs="Arial"/>
        <w:b/>
        <w:sz w:val="16"/>
        <w:szCs w:val="16"/>
      </w:rPr>
      <w:fldChar w:fldCharType="end"/>
    </w:r>
    <w:r w:rsidRPr="00AD22DC">
      <w:rPr>
        <w:rStyle w:val="PageNumber"/>
        <w:rFonts w:cs="Arial"/>
        <w:b/>
        <w:sz w:val="16"/>
        <w:szCs w:val="16"/>
      </w:rPr>
      <w:t xml:space="preserve"> of </w:t>
    </w:r>
    <w:r w:rsidRPr="00AD22DC">
      <w:rPr>
        <w:rStyle w:val="PageNumber"/>
        <w:rFonts w:cs="Arial"/>
        <w:b/>
        <w:sz w:val="16"/>
        <w:szCs w:val="16"/>
      </w:rPr>
      <w:fldChar w:fldCharType="begin"/>
    </w:r>
    <w:r w:rsidRPr="00AD22DC">
      <w:rPr>
        <w:rStyle w:val="PageNumber"/>
        <w:rFonts w:cs="Arial"/>
        <w:b/>
        <w:sz w:val="16"/>
        <w:szCs w:val="16"/>
      </w:rPr>
      <w:instrText xml:space="preserve"> NUMPAGES </w:instrText>
    </w:r>
    <w:r w:rsidRPr="00AD22DC">
      <w:rPr>
        <w:rStyle w:val="PageNumber"/>
        <w:rFonts w:cs="Arial"/>
        <w:b/>
        <w:sz w:val="16"/>
        <w:szCs w:val="16"/>
      </w:rPr>
      <w:fldChar w:fldCharType="separate"/>
    </w:r>
    <w:r w:rsidR="00A57997">
      <w:rPr>
        <w:rStyle w:val="PageNumber"/>
        <w:rFonts w:cs="Arial"/>
        <w:b/>
        <w:noProof/>
        <w:sz w:val="16"/>
        <w:szCs w:val="16"/>
      </w:rPr>
      <w:t>27</w:t>
    </w:r>
    <w:r w:rsidRPr="00AD22DC">
      <w:rPr>
        <w:rStyle w:val="PageNumber"/>
        <w:rFonts w:cs="Arial"/>
        <w:b/>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D4C16" w14:textId="77777777" w:rsidR="002414B8" w:rsidRDefault="002414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1ECE0DB" w14:textId="77777777" w:rsidR="002414B8" w:rsidRDefault="002414B8">
    <w:pPr>
      <w:pStyle w:val="Footer"/>
      <w:ind w:right="360"/>
    </w:pPr>
  </w:p>
  <w:p w14:paraId="777AE495" w14:textId="77777777" w:rsidR="002414B8" w:rsidRDefault="002414B8">
    <w:pPr>
      <w:pStyle w:val="Footer"/>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B64AB" w14:textId="77777777" w:rsidR="00FF201D" w:rsidRDefault="00FF201D">
      <w:r>
        <w:separator/>
      </w:r>
    </w:p>
  </w:footnote>
  <w:footnote w:type="continuationSeparator" w:id="0">
    <w:p w14:paraId="63BE5283" w14:textId="77777777" w:rsidR="00FF201D" w:rsidRDefault="00FF2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80DA9" w14:textId="77777777" w:rsidR="002414B8" w:rsidRPr="00176A82" w:rsidRDefault="002414B8" w:rsidP="00163196">
    <w:pPr>
      <w:spacing w:line="360" w:lineRule="auto"/>
      <w:ind w:firstLine="180"/>
      <w:rPr>
        <w:rFonts w:ascii="Calibri" w:hAnsi="Calibri" w:cs="Arial"/>
        <w:b/>
        <w:sz w:val="18"/>
        <w:szCs w:val="18"/>
        <w:lang w:eastAsia="en-GB"/>
      </w:rPr>
    </w:pPr>
    <w:r w:rsidRPr="00176A82">
      <w:rPr>
        <w:rFonts w:ascii="Calibri" w:hAnsi="Calibri"/>
        <w:b/>
        <w:sz w:val="18"/>
        <w:szCs w:val="18"/>
      </w:rPr>
      <w:t xml:space="preserve">Invitation To Tender for </w:t>
    </w:r>
    <w:r w:rsidRPr="00176A82">
      <w:rPr>
        <w:rFonts w:ascii="Calibri" w:hAnsi="Calibri" w:cs="Arial"/>
        <w:b/>
        <w:sz w:val="18"/>
        <w:szCs w:val="18"/>
        <w:lang w:eastAsia="en-GB"/>
      </w:rPr>
      <w:t xml:space="preserve">Provision of 1 x Rigid Inflatable Boat for </w:t>
    </w:r>
    <w:proofErr w:type="spellStart"/>
    <w:r w:rsidRPr="00176A82">
      <w:rPr>
        <w:rFonts w:ascii="Calibri" w:hAnsi="Calibri" w:cs="Arial"/>
        <w:b/>
        <w:sz w:val="18"/>
        <w:szCs w:val="18"/>
        <w:lang w:eastAsia="en-GB"/>
      </w:rPr>
      <w:t>IoS</w:t>
    </w:r>
    <w:proofErr w:type="spellEnd"/>
    <w:r w:rsidRPr="00176A82">
      <w:rPr>
        <w:rFonts w:ascii="Calibri" w:hAnsi="Calibri" w:cs="Arial"/>
        <w:b/>
        <w:sz w:val="18"/>
        <w:szCs w:val="18"/>
        <w:lang w:eastAsia="en-GB"/>
      </w:rPr>
      <w:t xml:space="preserve"> IFCA</w:t>
    </w:r>
  </w:p>
  <w:p w14:paraId="5B30D021" w14:textId="77777777" w:rsidR="002414B8" w:rsidRPr="00176A82" w:rsidRDefault="002414B8" w:rsidP="00163196">
    <w:pPr>
      <w:pStyle w:val="Heade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FFB92" w14:textId="77777777" w:rsidR="002414B8" w:rsidRDefault="002414B8" w:rsidP="00713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576F1" w14:textId="77777777" w:rsidR="002414B8" w:rsidRPr="00296AA4" w:rsidRDefault="002414B8" w:rsidP="00296AA4">
    <w:pPr>
      <w:pStyle w:val="Header"/>
    </w:pPr>
    <w:r>
      <w:t>Invitation to tender for Visitor Information Services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1B741" w14:textId="77777777" w:rsidR="002414B8" w:rsidRDefault="002414B8" w:rsidP="00713151">
    <w:pPr>
      <w:pStyle w:val="Header"/>
    </w:pPr>
  </w:p>
  <w:p w14:paraId="3EB00830" w14:textId="77777777" w:rsidR="002414B8" w:rsidRDefault="002414B8" w:rsidP="00713151">
    <w:pPr>
      <w:pStyle w:val="Header"/>
    </w:pPr>
  </w:p>
  <w:p w14:paraId="0236EF89" w14:textId="77777777" w:rsidR="002414B8" w:rsidRDefault="002414B8" w:rsidP="007131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B78CD2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4B1338"/>
    <w:multiLevelType w:val="hybridMultilevel"/>
    <w:tmpl w:val="F1F26276"/>
    <w:lvl w:ilvl="0" w:tplc="08090001">
      <w:start w:val="1"/>
      <w:numFmt w:val="bullet"/>
      <w:lvlText w:val=""/>
      <w:lvlJc w:val="left"/>
      <w:pPr>
        <w:ind w:left="1003" w:hanging="360"/>
      </w:pPr>
      <w:rPr>
        <w:rFonts w:ascii="Symbol" w:hAnsi="Symbol" w:hint="default"/>
      </w:rPr>
    </w:lvl>
    <w:lvl w:ilvl="1" w:tplc="08090003">
      <w:start w:val="1"/>
      <w:numFmt w:val="bullet"/>
      <w:lvlText w:val="o"/>
      <w:lvlJc w:val="left"/>
      <w:pPr>
        <w:ind w:left="1723" w:hanging="360"/>
      </w:pPr>
      <w:rPr>
        <w:rFonts w:ascii="Courier New" w:hAnsi="Courier New" w:cs="Courier New" w:hint="default"/>
      </w:rPr>
    </w:lvl>
    <w:lvl w:ilvl="2" w:tplc="08090005">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 w15:restartNumberingAfterBreak="0">
    <w:nsid w:val="07130BFD"/>
    <w:multiLevelType w:val="hybridMultilevel"/>
    <w:tmpl w:val="1B3C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60F7F"/>
    <w:multiLevelType w:val="hybridMultilevel"/>
    <w:tmpl w:val="8E2E26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F83443"/>
    <w:multiLevelType w:val="multilevel"/>
    <w:tmpl w:val="112034F6"/>
    <w:lvl w:ilvl="0">
      <w:start w:val="1"/>
      <w:numFmt w:val="decimal"/>
      <w:pStyle w:val="01-Level1-BB"/>
      <w:lvlText w:val="%1"/>
      <w:lvlJc w:val="left"/>
      <w:pPr>
        <w:tabs>
          <w:tab w:val="num" w:pos="720"/>
        </w:tabs>
        <w:ind w:left="720" w:hanging="720"/>
      </w:pPr>
      <w:rPr>
        <w:rFonts w:hint="default"/>
        <w:b/>
        <w:i w:val="0"/>
      </w:rPr>
    </w:lvl>
    <w:lvl w:ilvl="1">
      <w:start w:val="1"/>
      <w:numFmt w:val="decimal"/>
      <w:pStyle w:val="01-Level2-BB"/>
      <w:lvlText w:val="%1.%2"/>
      <w:lvlJc w:val="left"/>
      <w:pPr>
        <w:tabs>
          <w:tab w:val="num" w:pos="1440"/>
        </w:tabs>
        <w:ind w:left="1440" w:hanging="720"/>
      </w:pPr>
      <w:rPr>
        <w:rFonts w:hint="default"/>
        <w:b w:val="0"/>
        <w:i w:val="0"/>
      </w:rPr>
    </w:lvl>
    <w:lvl w:ilvl="2">
      <w:start w:val="1"/>
      <w:numFmt w:val="decimal"/>
      <w:pStyle w:val="01-Level1-BB"/>
      <w:lvlText w:val="%1.%2.%3"/>
      <w:lvlJc w:val="left"/>
      <w:pPr>
        <w:tabs>
          <w:tab w:val="num" w:pos="2880"/>
        </w:tabs>
        <w:ind w:left="2880" w:hanging="1440"/>
      </w:pPr>
      <w:rPr>
        <w:rFonts w:hint="default"/>
        <w:b w:val="0"/>
        <w:i w:val="0"/>
      </w:rPr>
    </w:lvl>
    <w:lvl w:ilvl="3">
      <w:start w:val="1"/>
      <w:numFmt w:val="decimal"/>
      <w:pStyle w:val="01-Level2-BB"/>
      <w:lvlText w:val="%1.%2.%3.%4"/>
      <w:lvlJc w:val="left"/>
      <w:pPr>
        <w:tabs>
          <w:tab w:val="num" w:pos="2880"/>
        </w:tabs>
        <w:ind w:left="2880" w:hanging="1440"/>
      </w:pPr>
      <w:rPr>
        <w:rFonts w:hint="default"/>
        <w:b w:val="0"/>
        <w:i w:val="0"/>
      </w:rPr>
    </w:lvl>
    <w:lvl w:ilvl="4">
      <w:start w:val="1"/>
      <w:numFmt w:val="decimal"/>
      <w:lvlText w:val="%1.%2.%3.%4.%5"/>
      <w:lvlJc w:val="left"/>
      <w:pPr>
        <w:tabs>
          <w:tab w:val="num" w:pos="2880"/>
        </w:tabs>
        <w:ind w:left="2880" w:hanging="1440"/>
      </w:pPr>
      <w:rPr>
        <w:rFonts w:hint="default"/>
        <w:b w:val="0"/>
        <w:i w:val="0"/>
      </w:rPr>
    </w:lvl>
    <w:lvl w:ilvl="5">
      <w:start w:val="1"/>
      <w:numFmt w:val="decimal"/>
      <w:lvlText w:val="%1.%2.%3.%4.%5.%6."/>
      <w:lvlJc w:val="left"/>
      <w:pPr>
        <w:tabs>
          <w:tab w:val="num" w:pos="3240"/>
        </w:tabs>
        <w:ind w:left="2736" w:hanging="936"/>
      </w:pPr>
      <w:rPr>
        <w:rFonts w:hint="default"/>
        <w:b w:val="0"/>
        <w:i w:val="0"/>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1A7F3665"/>
    <w:multiLevelType w:val="hybridMultilevel"/>
    <w:tmpl w:val="018CA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C11CD4"/>
    <w:multiLevelType w:val="multilevel"/>
    <w:tmpl w:val="5B44B8AA"/>
    <w:lvl w:ilvl="0">
      <w:start w:val="1"/>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3119"/>
        </w:tabs>
        <w:ind w:left="3119" w:hanging="311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AD14E5E"/>
    <w:multiLevelType w:val="multilevel"/>
    <w:tmpl w:val="78B656CE"/>
    <w:lvl w:ilvl="0">
      <w:start w:val="1"/>
      <w:numFmt w:val="decimal"/>
      <w:pStyle w:val="A1"/>
      <w:lvlText w:val="%1."/>
      <w:lvlJc w:val="left"/>
      <w:pPr>
        <w:tabs>
          <w:tab w:val="num" w:pos="576"/>
        </w:tabs>
        <w:ind w:left="576" w:hanging="576"/>
      </w:pPr>
      <w:rPr>
        <w:rFonts w:ascii="Frutiger LT Std 45 Light" w:hAnsi="Frutiger LT Std 45 Light" w:hint="default"/>
        <w:b w:val="0"/>
        <w:i w:val="0"/>
        <w:sz w:val="18"/>
        <w:u w:val="none"/>
      </w:rPr>
    </w:lvl>
    <w:lvl w:ilvl="1">
      <w:start w:val="1"/>
      <w:numFmt w:val="decimal"/>
      <w:pStyle w:val="A2"/>
      <w:lvlText w:val="%1.%2."/>
      <w:lvlJc w:val="left"/>
      <w:pPr>
        <w:tabs>
          <w:tab w:val="num" w:pos="576"/>
        </w:tabs>
        <w:ind w:left="576" w:hanging="576"/>
      </w:pPr>
      <w:rPr>
        <w:rFonts w:ascii="Frutiger LT Std 45 Light" w:hAnsi="Frutiger LT Std 45 Light" w:hint="default"/>
        <w:b w:val="0"/>
        <w:i w:val="0"/>
        <w:sz w:val="18"/>
      </w:rPr>
    </w:lvl>
    <w:lvl w:ilvl="2">
      <w:start w:val="1"/>
      <w:numFmt w:val="decimal"/>
      <w:pStyle w:val="A3"/>
      <w:lvlText w:val="%1.%2.%3."/>
      <w:lvlJc w:val="left"/>
      <w:pPr>
        <w:tabs>
          <w:tab w:val="num" w:pos="1368"/>
        </w:tabs>
        <w:ind w:left="1368" w:hanging="792"/>
      </w:pPr>
      <w:rPr>
        <w:rFonts w:ascii="Frutiger LT Std 45 Light" w:hAnsi="Frutiger LT Std 45 Light" w:hint="default"/>
        <w:b w:val="0"/>
        <w:i w:val="0"/>
        <w:sz w:val="18"/>
      </w:rPr>
    </w:lvl>
    <w:lvl w:ilvl="3">
      <w:start w:val="1"/>
      <w:numFmt w:val="lowerLetter"/>
      <w:pStyle w:val="A4"/>
      <w:lvlText w:val="%4)"/>
      <w:lvlJc w:val="left"/>
      <w:pPr>
        <w:tabs>
          <w:tab w:val="num" w:pos="1728"/>
        </w:tabs>
        <w:ind w:left="1728" w:hanging="360"/>
      </w:pPr>
      <w:rPr>
        <w:rFonts w:ascii="Frutiger LT Std 45 Light" w:hAnsi="Frutiger LT Std 45 Light" w:hint="default"/>
        <w:b w:val="0"/>
        <w:i w:val="0"/>
        <w:sz w:val="18"/>
      </w:rPr>
    </w:lvl>
    <w:lvl w:ilvl="4">
      <w:start w:val="1"/>
      <w:numFmt w:val="lowerRoman"/>
      <w:pStyle w:val="A5"/>
      <w:lvlText w:val="%5)"/>
      <w:lvlJc w:val="left"/>
      <w:pPr>
        <w:tabs>
          <w:tab w:val="num" w:pos="2304"/>
        </w:tabs>
        <w:ind w:left="2304" w:hanging="576"/>
      </w:pPr>
      <w:rPr>
        <w:rFonts w:ascii="Frutiger LT Std 45 Light" w:hAnsi="Frutiger LT Std 45 Light" w:hint="default"/>
        <w:sz w:val="18"/>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CC002C2"/>
    <w:multiLevelType w:val="hybridMultilevel"/>
    <w:tmpl w:val="D3A6317A"/>
    <w:lvl w:ilvl="0" w:tplc="08090001">
      <w:start w:val="1"/>
      <w:numFmt w:val="bullet"/>
      <w:lvlText w:val=""/>
      <w:lvlJc w:val="left"/>
      <w:pPr>
        <w:ind w:left="1627" w:hanging="360"/>
      </w:pPr>
      <w:rPr>
        <w:rFonts w:ascii="Symbol" w:hAnsi="Symbol" w:hint="default"/>
      </w:rPr>
    </w:lvl>
    <w:lvl w:ilvl="1" w:tplc="08090003" w:tentative="1">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9" w15:restartNumberingAfterBreak="0">
    <w:nsid w:val="34DC235C"/>
    <w:multiLevelType w:val="multilevel"/>
    <w:tmpl w:val="3034AC4C"/>
    <w:lvl w:ilvl="0">
      <w:start w:val="1"/>
      <w:numFmt w:val="upperLetter"/>
      <w:suff w:val="nothing"/>
      <w:lvlText w:val="Section %1:  "/>
      <w:lvlJc w:val="left"/>
      <w:pPr>
        <w:ind w:left="715" w:hanging="432"/>
      </w:pPr>
      <w:rPr>
        <w:rFonts w:ascii="Arial" w:hAnsi="Arial" w:hint="default"/>
      </w:rPr>
    </w:lvl>
    <w:lvl w:ilvl="1">
      <w:start w:val="1"/>
      <w:numFmt w:val="decimal"/>
      <w:lvlText w:val="%1.%2"/>
      <w:lvlJc w:val="left"/>
      <w:pPr>
        <w:tabs>
          <w:tab w:val="num" w:pos="907"/>
        </w:tabs>
        <w:ind w:left="907" w:hanging="907"/>
      </w:pPr>
      <w:rPr>
        <w:rFonts w:hint="default"/>
        <w:b w:val="0"/>
      </w:rPr>
    </w:lvl>
    <w:lvl w:ilvl="2">
      <w:start w:val="1"/>
      <w:numFmt w:val="decimal"/>
      <w:lvlText w:val="%1.%2.%3"/>
      <w:lvlJc w:val="left"/>
      <w:pPr>
        <w:tabs>
          <w:tab w:val="num" w:pos="1843"/>
        </w:tabs>
        <w:ind w:left="1843" w:hanging="1134"/>
      </w:pPr>
      <w:rPr>
        <w:rFonts w:hint="default"/>
      </w:rPr>
    </w:lvl>
    <w:lvl w:ilvl="3">
      <w:start w:val="1"/>
      <w:numFmt w:val="decimal"/>
      <w:lvlText w:val="%1.%2.%3.%4"/>
      <w:lvlJc w:val="left"/>
      <w:pPr>
        <w:tabs>
          <w:tab w:val="num" w:pos="3119"/>
        </w:tabs>
        <w:ind w:left="3119" w:hanging="311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5734615"/>
    <w:multiLevelType w:val="multilevel"/>
    <w:tmpl w:val="B2E0CA40"/>
    <w:lvl w:ilvl="0">
      <w:start w:val="1"/>
      <w:numFmt w:val="decimal"/>
      <w:pStyle w:val="PCSchedule1"/>
      <w:lvlText w:val="%1."/>
      <w:lvlJc w:val="left"/>
      <w:pPr>
        <w:tabs>
          <w:tab w:val="num" w:pos="851"/>
        </w:tabs>
        <w:ind w:left="851" w:hanging="851"/>
      </w:pPr>
      <w:rPr>
        <w:rFonts w:ascii="Arial" w:hAnsi="Arial" w:hint="default"/>
        <w:b w:val="0"/>
        <w:i w:val="0"/>
        <w:sz w:val="22"/>
        <w:u w:val="none"/>
      </w:rPr>
    </w:lvl>
    <w:lvl w:ilvl="1">
      <w:start w:val="1"/>
      <w:numFmt w:val="decimal"/>
      <w:pStyle w:val="PCSchedule2"/>
      <w:lvlText w:val="%1.%2"/>
      <w:lvlJc w:val="left"/>
      <w:pPr>
        <w:tabs>
          <w:tab w:val="num" w:pos="851"/>
        </w:tabs>
        <w:ind w:left="851" w:hanging="851"/>
      </w:pPr>
      <w:rPr>
        <w:rFonts w:ascii="Arial" w:hAnsi="Arial" w:hint="default"/>
        <w:b w:val="0"/>
        <w:i w:val="0"/>
        <w:sz w:val="22"/>
        <w:u w:val="none"/>
      </w:rPr>
    </w:lvl>
    <w:lvl w:ilvl="2">
      <w:start w:val="1"/>
      <w:numFmt w:val="decimal"/>
      <w:pStyle w:val="PCSchedule3"/>
      <w:lvlText w:val="%1.%2.%3"/>
      <w:lvlJc w:val="left"/>
      <w:pPr>
        <w:tabs>
          <w:tab w:val="num" w:pos="1701"/>
        </w:tabs>
        <w:ind w:left="1701" w:hanging="850"/>
      </w:pPr>
      <w:rPr>
        <w:rFonts w:ascii="Arial" w:hAnsi="Arial" w:hint="default"/>
        <w:b w:val="0"/>
        <w:i w:val="0"/>
        <w:sz w:val="22"/>
      </w:rPr>
    </w:lvl>
    <w:lvl w:ilvl="3">
      <w:start w:val="1"/>
      <w:numFmt w:val="lowerLetter"/>
      <w:lvlText w:val="(%4)"/>
      <w:lvlJc w:val="left"/>
      <w:pPr>
        <w:tabs>
          <w:tab w:val="num" w:pos="2268"/>
        </w:tabs>
        <w:ind w:left="2268" w:hanging="567"/>
      </w:pPr>
      <w:rPr>
        <w:rFonts w:ascii="Arial" w:hAnsi="Arial" w:hint="default"/>
        <w:b w:val="0"/>
        <w:i w:val="0"/>
        <w:sz w:val="22"/>
      </w:rPr>
    </w:lvl>
    <w:lvl w:ilvl="4">
      <w:start w:val="1"/>
      <w:numFmt w:val="lowerRoman"/>
      <w:pStyle w:val="PCSchedule5"/>
      <w:lvlText w:val="(%5)"/>
      <w:lvlJc w:val="left"/>
      <w:pPr>
        <w:tabs>
          <w:tab w:val="num" w:pos="2988"/>
        </w:tabs>
        <w:ind w:left="2835" w:hanging="567"/>
      </w:pPr>
      <w:rPr>
        <w:rFonts w:ascii="Arial" w:hAnsi="Arial" w:hint="default"/>
        <w:b w:val="0"/>
        <w:i w:val="0"/>
        <w:sz w:val="22"/>
      </w:rPr>
    </w:lvl>
    <w:lvl w:ilvl="5">
      <w:start w:val="1"/>
      <w:numFmt w:val="decimal"/>
      <w:pStyle w:val="PCScheduleInd2"/>
      <w:lvlText w:val="%1.%6"/>
      <w:lvlJc w:val="left"/>
      <w:pPr>
        <w:tabs>
          <w:tab w:val="num" w:pos="1701"/>
        </w:tabs>
        <w:ind w:left="1701" w:hanging="850"/>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PCScheduleInd3"/>
      <w:lvlText w:val="%1.%6.%7"/>
      <w:lvlJc w:val="left"/>
      <w:pPr>
        <w:tabs>
          <w:tab w:val="num" w:pos="2552"/>
        </w:tabs>
        <w:ind w:left="2552" w:hanging="851"/>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PCScheduleInd4"/>
      <w:lvlText w:val="(%8)"/>
      <w:lvlJc w:val="left"/>
      <w:pPr>
        <w:tabs>
          <w:tab w:val="num" w:pos="3119"/>
        </w:tabs>
        <w:ind w:left="3119" w:hanging="567"/>
      </w:pPr>
      <w:rPr>
        <w:rFonts w:ascii="Arial" w:hAnsi="Arial" w:hint="default"/>
        <w:b w:val="0"/>
        <w:i w:val="0"/>
        <w:sz w:val="22"/>
      </w:rPr>
    </w:lvl>
    <w:lvl w:ilvl="8">
      <w:start w:val="1"/>
      <w:numFmt w:val="lowerRoman"/>
      <w:pStyle w:val="PCScheduleInd5"/>
      <w:lvlText w:val="(%9)"/>
      <w:lvlJc w:val="left"/>
      <w:pPr>
        <w:tabs>
          <w:tab w:val="num" w:pos="3839"/>
        </w:tabs>
        <w:ind w:left="3686" w:hanging="567"/>
      </w:pPr>
      <w:rPr>
        <w:rFonts w:ascii="Arial" w:hAnsi="Arial" w:hint="default"/>
        <w:b w:val="0"/>
        <w:i w:val="0"/>
        <w:sz w:val="22"/>
      </w:rPr>
    </w:lvl>
  </w:abstractNum>
  <w:abstractNum w:abstractNumId="11" w15:restartNumberingAfterBreak="0">
    <w:nsid w:val="3A5A4BC1"/>
    <w:multiLevelType w:val="multilevel"/>
    <w:tmpl w:val="24E0F946"/>
    <w:lvl w:ilvl="0">
      <w:start w:val="1"/>
      <w:numFmt w:val="upperLetter"/>
      <w:suff w:val="space"/>
      <w:lvlText w:val="Section %1 -"/>
      <w:lvlJc w:val="left"/>
      <w:pPr>
        <w:ind w:left="2340" w:firstLine="0"/>
      </w:pPr>
      <w:rPr>
        <w:rFonts w:hint="default"/>
      </w:rPr>
    </w:lvl>
    <w:lvl w:ilvl="1">
      <w:start w:val="1"/>
      <w:numFmt w:val="decimal"/>
      <w:pStyle w:val="BodyText"/>
      <w:lvlText w:val="%1.%2"/>
      <w:lvlJc w:val="left"/>
      <w:pPr>
        <w:tabs>
          <w:tab w:val="num" w:pos="4423"/>
        </w:tabs>
        <w:ind w:left="4423" w:hanging="737"/>
      </w:pPr>
      <w:rPr>
        <w:rFonts w:hint="default"/>
        <w:b w:val="0"/>
        <w:i w:val="0"/>
      </w:rPr>
    </w:lvl>
    <w:lvl w:ilvl="2">
      <w:start w:val="1"/>
      <w:numFmt w:val="lowerRoman"/>
      <w:pStyle w:val="BodyTextIndent"/>
      <w:lvlText w:val="%3."/>
      <w:lvlJc w:val="left"/>
      <w:pPr>
        <w:tabs>
          <w:tab w:val="num" w:pos="1514"/>
        </w:tabs>
        <w:ind w:left="794" w:firstLine="0"/>
      </w:pPr>
      <w:rPr>
        <w:rFonts w:hint="default"/>
      </w:rPr>
    </w:lvl>
    <w:lvl w:ilvl="3">
      <w:start w:val="1"/>
      <w:numFmt w:val="bullet"/>
      <w:lvlText w:val=""/>
      <w:lvlJc w:val="left"/>
      <w:pPr>
        <w:tabs>
          <w:tab w:val="num" w:pos="1326"/>
        </w:tabs>
        <w:ind w:left="1326" w:hanging="1326"/>
      </w:pPr>
      <w:rPr>
        <w:rFonts w:ascii="Symbol" w:hAnsi="Symbol" w:hint="default"/>
      </w:rPr>
    </w:lvl>
    <w:lvl w:ilvl="4">
      <w:start w:val="1"/>
      <w:numFmt w:val="lowerLetter"/>
      <w:lvlText w:val="(%5)"/>
      <w:lvlJc w:val="left"/>
      <w:pPr>
        <w:tabs>
          <w:tab w:val="num" w:pos="1686"/>
        </w:tabs>
        <w:ind w:left="1686" w:hanging="1800"/>
      </w:pPr>
      <w:rPr>
        <w:rFonts w:hint="default"/>
      </w:rPr>
    </w:lvl>
    <w:lvl w:ilvl="5">
      <w:start w:val="1"/>
      <w:numFmt w:val="lowerRoman"/>
      <w:lvlText w:val="(%6)"/>
      <w:lvlJc w:val="left"/>
      <w:pPr>
        <w:tabs>
          <w:tab w:val="num" w:pos="2046"/>
        </w:tabs>
        <w:ind w:left="2046" w:hanging="1309"/>
      </w:pPr>
      <w:rPr>
        <w:rFonts w:hint="default"/>
      </w:rPr>
    </w:lvl>
    <w:lvl w:ilvl="6">
      <w:start w:val="1"/>
      <w:numFmt w:val="decimal"/>
      <w:lvlText w:val="%7."/>
      <w:lvlJc w:val="left"/>
      <w:pPr>
        <w:tabs>
          <w:tab w:val="num" w:pos="2406"/>
        </w:tabs>
        <w:ind w:left="2406" w:hanging="360"/>
      </w:pPr>
      <w:rPr>
        <w:rFonts w:hint="default"/>
      </w:rPr>
    </w:lvl>
    <w:lvl w:ilvl="7">
      <w:start w:val="1"/>
      <w:numFmt w:val="lowerLetter"/>
      <w:lvlText w:val="%8."/>
      <w:lvlJc w:val="left"/>
      <w:pPr>
        <w:tabs>
          <w:tab w:val="num" w:pos="2766"/>
        </w:tabs>
        <w:ind w:left="2766" w:hanging="360"/>
      </w:pPr>
      <w:rPr>
        <w:rFonts w:hint="default"/>
      </w:rPr>
    </w:lvl>
    <w:lvl w:ilvl="8">
      <w:start w:val="1"/>
      <w:numFmt w:val="lowerRoman"/>
      <w:lvlText w:val="%9."/>
      <w:lvlJc w:val="left"/>
      <w:pPr>
        <w:tabs>
          <w:tab w:val="num" w:pos="3126"/>
        </w:tabs>
        <w:ind w:left="3126" w:hanging="360"/>
      </w:pPr>
      <w:rPr>
        <w:rFonts w:hint="default"/>
      </w:rPr>
    </w:lvl>
  </w:abstractNum>
  <w:abstractNum w:abstractNumId="12" w15:restartNumberingAfterBreak="0">
    <w:nsid w:val="4613046E"/>
    <w:multiLevelType w:val="hybridMultilevel"/>
    <w:tmpl w:val="3EAA92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BE963B8"/>
    <w:multiLevelType w:val="hybridMultilevel"/>
    <w:tmpl w:val="975C4E98"/>
    <w:lvl w:ilvl="0" w:tplc="08090003">
      <w:start w:val="1"/>
      <w:numFmt w:val="bullet"/>
      <w:lvlText w:val="o"/>
      <w:lvlJc w:val="left"/>
      <w:pPr>
        <w:tabs>
          <w:tab w:val="num" w:pos="1779"/>
        </w:tabs>
        <w:ind w:left="1779"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DA2CCD"/>
    <w:multiLevelType w:val="hybridMultilevel"/>
    <w:tmpl w:val="FF62F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7166E5"/>
    <w:multiLevelType w:val="hybridMultilevel"/>
    <w:tmpl w:val="4B266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32576B"/>
    <w:multiLevelType w:val="hybridMultilevel"/>
    <w:tmpl w:val="CA1C4C3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6ABB4524"/>
    <w:multiLevelType w:val="hybridMultilevel"/>
    <w:tmpl w:val="831688D4"/>
    <w:lvl w:ilvl="0" w:tplc="04090011">
      <w:start w:val="1"/>
      <w:numFmt w:val="bullet"/>
      <w:pStyle w:val="List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305A71"/>
    <w:multiLevelType w:val="hybridMultilevel"/>
    <w:tmpl w:val="D41A5F62"/>
    <w:lvl w:ilvl="0" w:tplc="08090003">
      <w:start w:val="1"/>
      <w:numFmt w:val="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1461"/>
        </w:tabs>
        <w:ind w:left="1461" w:hanging="360"/>
      </w:pPr>
      <w:rPr>
        <w:rFonts w:ascii="Courier New" w:hAnsi="Courier New" w:cs="Courier New" w:hint="default"/>
      </w:rPr>
    </w:lvl>
    <w:lvl w:ilvl="2" w:tplc="04090005" w:tentative="1">
      <w:start w:val="1"/>
      <w:numFmt w:val="bullet"/>
      <w:lvlText w:val=""/>
      <w:lvlJc w:val="left"/>
      <w:pPr>
        <w:tabs>
          <w:tab w:val="num" w:pos="2181"/>
        </w:tabs>
        <w:ind w:left="2181" w:hanging="360"/>
      </w:pPr>
      <w:rPr>
        <w:rFonts w:ascii="Wingdings" w:hAnsi="Wingdings" w:hint="default"/>
      </w:rPr>
    </w:lvl>
    <w:lvl w:ilvl="3" w:tplc="04090001" w:tentative="1">
      <w:start w:val="1"/>
      <w:numFmt w:val="bullet"/>
      <w:lvlText w:val=""/>
      <w:lvlJc w:val="left"/>
      <w:pPr>
        <w:tabs>
          <w:tab w:val="num" w:pos="2901"/>
        </w:tabs>
        <w:ind w:left="2901" w:hanging="360"/>
      </w:pPr>
      <w:rPr>
        <w:rFonts w:ascii="Symbol" w:hAnsi="Symbol" w:hint="default"/>
      </w:rPr>
    </w:lvl>
    <w:lvl w:ilvl="4" w:tplc="04090003" w:tentative="1">
      <w:start w:val="1"/>
      <w:numFmt w:val="bullet"/>
      <w:lvlText w:val="o"/>
      <w:lvlJc w:val="left"/>
      <w:pPr>
        <w:tabs>
          <w:tab w:val="num" w:pos="3621"/>
        </w:tabs>
        <w:ind w:left="3621" w:hanging="360"/>
      </w:pPr>
      <w:rPr>
        <w:rFonts w:ascii="Courier New" w:hAnsi="Courier New" w:cs="Courier New" w:hint="default"/>
      </w:rPr>
    </w:lvl>
    <w:lvl w:ilvl="5" w:tplc="04090005" w:tentative="1">
      <w:start w:val="1"/>
      <w:numFmt w:val="bullet"/>
      <w:lvlText w:val=""/>
      <w:lvlJc w:val="left"/>
      <w:pPr>
        <w:tabs>
          <w:tab w:val="num" w:pos="4341"/>
        </w:tabs>
        <w:ind w:left="4341" w:hanging="360"/>
      </w:pPr>
      <w:rPr>
        <w:rFonts w:ascii="Wingdings" w:hAnsi="Wingdings" w:hint="default"/>
      </w:rPr>
    </w:lvl>
    <w:lvl w:ilvl="6" w:tplc="04090001" w:tentative="1">
      <w:start w:val="1"/>
      <w:numFmt w:val="bullet"/>
      <w:lvlText w:val=""/>
      <w:lvlJc w:val="left"/>
      <w:pPr>
        <w:tabs>
          <w:tab w:val="num" w:pos="5061"/>
        </w:tabs>
        <w:ind w:left="5061" w:hanging="360"/>
      </w:pPr>
      <w:rPr>
        <w:rFonts w:ascii="Symbol" w:hAnsi="Symbol" w:hint="default"/>
      </w:rPr>
    </w:lvl>
    <w:lvl w:ilvl="7" w:tplc="04090003" w:tentative="1">
      <w:start w:val="1"/>
      <w:numFmt w:val="bullet"/>
      <w:lvlText w:val="o"/>
      <w:lvlJc w:val="left"/>
      <w:pPr>
        <w:tabs>
          <w:tab w:val="num" w:pos="5781"/>
        </w:tabs>
        <w:ind w:left="5781" w:hanging="360"/>
      </w:pPr>
      <w:rPr>
        <w:rFonts w:ascii="Courier New" w:hAnsi="Courier New" w:cs="Courier New" w:hint="default"/>
      </w:rPr>
    </w:lvl>
    <w:lvl w:ilvl="8" w:tplc="04090005" w:tentative="1">
      <w:start w:val="1"/>
      <w:numFmt w:val="bullet"/>
      <w:lvlText w:val=""/>
      <w:lvlJc w:val="left"/>
      <w:pPr>
        <w:tabs>
          <w:tab w:val="num" w:pos="6501"/>
        </w:tabs>
        <w:ind w:left="6501" w:hanging="360"/>
      </w:pPr>
      <w:rPr>
        <w:rFonts w:ascii="Wingdings" w:hAnsi="Wingdings" w:hint="default"/>
      </w:rPr>
    </w:lvl>
  </w:abstractNum>
  <w:abstractNum w:abstractNumId="19" w15:restartNumberingAfterBreak="0">
    <w:nsid w:val="6F195A6D"/>
    <w:multiLevelType w:val="hybridMultilevel"/>
    <w:tmpl w:val="917A875E"/>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0" w15:restartNumberingAfterBreak="0">
    <w:nsid w:val="72822A7A"/>
    <w:multiLevelType w:val="multilevel"/>
    <w:tmpl w:val="7402E712"/>
    <w:lvl w:ilvl="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figure"/>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Zero"/>
      <w:lvlRestart w:val="0"/>
      <w:suff w:val="nothing"/>
      <w:lvlText w:val="Appendix %6 "/>
      <w:lvlJc w:val="left"/>
      <w:pPr>
        <w:ind w:left="1152" w:hanging="1152"/>
      </w:pPr>
      <w:rPr>
        <w:rFonts w:hint="default"/>
      </w:rPr>
    </w:lvl>
    <w:lvl w:ilvl="6">
      <w:start w:val="1"/>
      <w:numFmt w:val="decimalZero"/>
      <w:lvlRestart w:val="0"/>
      <w:pStyle w:val="figure"/>
      <w:suff w:val="nothing"/>
      <w:lvlText w:val="Figure %7"/>
      <w:lvlJc w:val="left"/>
      <w:pPr>
        <w:ind w:left="0" w:firstLine="0"/>
      </w:pPr>
      <w:rPr>
        <w:rFonts w:hint="default"/>
      </w:rPr>
    </w:lvl>
    <w:lvl w:ilvl="7">
      <w:start w:val="1"/>
      <w:numFmt w:val="decimalZero"/>
      <w:lvlRestart w:val="0"/>
      <w:lvlText w:val="A%6.%8"/>
      <w:lvlJc w:val="left"/>
      <w:pPr>
        <w:tabs>
          <w:tab w:val="num" w:pos="1440"/>
        </w:tabs>
        <w:ind w:left="1440" w:hanging="1440"/>
      </w:pPr>
      <w:rPr>
        <w:rFonts w:hint="default"/>
      </w:rPr>
    </w:lvl>
    <w:lvl w:ilvl="8">
      <w:start w:val="1"/>
      <w:numFmt w:val="decimal"/>
      <w:lvlRestart w:val="0"/>
      <w:lvlText w:val="A.%7.%8.%9"/>
      <w:lvlJc w:val="left"/>
      <w:pPr>
        <w:tabs>
          <w:tab w:val="num" w:pos="1584"/>
        </w:tabs>
        <w:ind w:left="1584" w:hanging="1584"/>
      </w:pPr>
      <w:rPr>
        <w:rFonts w:hint="default"/>
      </w:rPr>
    </w:lvl>
  </w:abstractNum>
  <w:abstractNum w:abstractNumId="21" w15:restartNumberingAfterBreak="0">
    <w:nsid w:val="75C5493D"/>
    <w:multiLevelType w:val="hybridMultilevel"/>
    <w:tmpl w:val="866A3856"/>
    <w:lvl w:ilvl="0" w:tplc="30E41198">
      <w:start w:val="1"/>
      <w:numFmt w:val="lowerLetter"/>
      <w:pStyle w:val="Numbereda"/>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BE00B36"/>
    <w:multiLevelType w:val="multilevel"/>
    <w:tmpl w:val="77AC62C8"/>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A62D9D"/>
    <w:multiLevelType w:val="multilevel"/>
    <w:tmpl w:val="62028634"/>
    <w:lvl w:ilvl="0">
      <w:start w:val="1"/>
      <w:numFmt w:val="bullet"/>
      <w:lvlRestart w:val="0"/>
      <w:pStyle w:val="dashbullet2"/>
      <w:lvlText w:val=""/>
      <w:lvlJc w:val="left"/>
      <w:pPr>
        <w:tabs>
          <w:tab w:val="num" w:pos="2041"/>
        </w:tabs>
        <w:ind w:left="2041" w:hanging="681"/>
      </w:pPr>
      <w:rPr>
        <w:rFonts w:ascii="Symbol" w:hAnsi="Symbol" w:hint="default"/>
        <w:color w:val="000058"/>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num w:numId="1">
    <w:abstractNumId w:val="17"/>
  </w:num>
  <w:num w:numId="2">
    <w:abstractNumId w:val="0"/>
  </w:num>
  <w:num w:numId="3">
    <w:abstractNumId w:val="21"/>
  </w:num>
  <w:num w:numId="4">
    <w:abstractNumId w:val="4"/>
  </w:num>
  <w:num w:numId="5">
    <w:abstractNumId w:val="11"/>
  </w:num>
  <w:num w:numId="6">
    <w:abstractNumId w:val="23"/>
  </w:num>
  <w:num w:numId="7">
    <w:abstractNumId w:val="22"/>
  </w:num>
  <w:num w:numId="8">
    <w:abstractNumId w:val="10"/>
  </w:num>
  <w:num w:numId="9">
    <w:abstractNumId w:val="7"/>
  </w:num>
  <w:num w:numId="10">
    <w:abstractNumId w:val="6"/>
  </w:num>
  <w:num w:numId="11">
    <w:abstractNumId w:val="18"/>
  </w:num>
  <w:num w:numId="12">
    <w:abstractNumId w:val="13"/>
  </w:num>
  <w:num w:numId="13">
    <w:abstractNumId w:val="20"/>
  </w:num>
  <w:num w:numId="14">
    <w:abstractNumId w:val="9"/>
  </w:num>
  <w:num w:numId="15">
    <w:abstractNumId w:val="5"/>
  </w:num>
  <w:num w:numId="16">
    <w:abstractNumId w:val="3"/>
  </w:num>
  <w:num w:numId="17">
    <w:abstractNumId w:val="8"/>
  </w:num>
  <w:num w:numId="18">
    <w:abstractNumId w:val="14"/>
  </w:num>
  <w:num w:numId="19">
    <w:abstractNumId w:val="1"/>
  </w:num>
  <w:num w:numId="20">
    <w:abstractNumId w:val="19"/>
  </w:num>
  <w:num w:numId="21">
    <w:abstractNumId w:val="12"/>
  </w:num>
  <w:num w:numId="22">
    <w:abstractNumId w:val="2"/>
  </w:num>
  <w:num w:numId="23">
    <w:abstractNumId w:val="16"/>
  </w:num>
  <w:num w:numId="24">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D29"/>
    <w:rsid w:val="00020DAD"/>
    <w:rsid w:val="000213CB"/>
    <w:rsid w:val="000215F2"/>
    <w:rsid w:val="00025CE6"/>
    <w:rsid w:val="00033344"/>
    <w:rsid w:val="00035096"/>
    <w:rsid w:val="00037C5D"/>
    <w:rsid w:val="00043FC6"/>
    <w:rsid w:val="00056B52"/>
    <w:rsid w:val="0006407B"/>
    <w:rsid w:val="000654AD"/>
    <w:rsid w:val="00065AF0"/>
    <w:rsid w:val="00074B5B"/>
    <w:rsid w:val="000773B7"/>
    <w:rsid w:val="00077C68"/>
    <w:rsid w:val="00085349"/>
    <w:rsid w:val="00090DAE"/>
    <w:rsid w:val="00097675"/>
    <w:rsid w:val="00097C4B"/>
    <w:rsid w:val="000A4EEE"/>
    <w:rsid w:val="000B0B38"/>
    <w:rsid w:val="000B0C83"/>
    <w:rsid w:val="000B21F8"/>
    <w:rsid w:val="000B3566"/>
    <w:rsid w:val="000B3AEF"/>
    <w:rsid w:val="000B3D24"/>
    <w:rsid w:val="000B4286"/>
    <w:rsid w:val="000B60C8"/>
    <w:rsid w:val="000D0BE8"/>
    <w:rsid w:val="000D0D9D"/>
    <w:rsid w:val="000D2D80"/>
    <w:rsid w:val="000D7306"/>
    <w:rsid w:val="000D752F"/>
    <w:rsid w:val="000F0747"/>
    <w:rsid w:val="000F22F1"/>
    <w:rsid w:val="000F5C88"/>
    <w:rsid w:val="001102F6"/>
    <w:rsid w:val="00113A55"/>
    <w:rsid w:val="00113F01"/>
    <w:rsid w:val="0011639A"/>
    <w:rsid w:val="001356C4"/>
    <w:rsid w:val="00144E6A"/>
    <w:rsid w:val="00145AB3"/>
    <w:rsid w:val="00153535"/>
    <w:rsid w:val="00154C1F"/>
    <w:rsid w:val="0015790E"/>
    <w:rsid w:val="00163196"/>
    <w:rsid w:val="00167E40"/>
    <w:rsid w:val="0017065E"/>
    <w:rsid w:val="00172176"/>
    <w:rsid w:val="001735F4"/>
    <w:rsid w:val="00176A82"/>
    <w:rsid w:val="00192A9E"/>
    <w:rsid w:val="00192C3A"/>
    <w:rsid w:val="00194DC8"/>
    <w:rsid w:val="0019744E"/>
    <w:rsid w:val="001A6D6A"/>
    <w:rsid w:val="001B1B39"/>
    <w:rsid w:val="001B1DE6"/>
    <w:rsid w:val="001B2E91"/>
    <w:rsid w:val="001C2177"/>
    <w:rsid w:val="001C776E"/>
    <w:rsid w:val="001D168B"/>
    <w:rsid w:val="001E2C54"/>
    <w:rsid w:val="001F5D2C"/>
    <w:rsid w:val="002068B4"/>
    <w:rsid w:val="002069FD"/>
    <w:rsid w:val="00214382"/>
    <w:rsid w:val="002143AF"/>
    <w:rsid w:val="002176B8"/>
    <w:rsid w:val="0022458C"/>
    <w:rsid w:val="00225042"/>
    <w:rsid w:val="00226671"/>
    <w:rsid w:val="0022730E"/>
    <w:rsid w:val="00232FF2"/>
    <w:rsid w:val="002414B8"/>
    <w:rsid w:val="002623A9"/>
    <w:rsid w:val="00281219"/>
    <w:rsid w:val="00282D0E"/>
    <w:rsid w:val="00290BE2"/>
    <w:rsid w:val="00295EA3"/>
    <w:rsid w:val="00296AA4"/>
    <w:rsid w:val="002A00C5"/>
    <w:rsid w:val="002A0367"/>
    <w:rsid w:val="002A50B7"/>
    <w:rsid w:val="002A7EFD"/>
    <w:rsid w:val="002B361D"/>
    <w:rsid w:val="002B6639"/>
    <w:rsid w:val="002C028E"/>
    <w:rsid w:val="002C3435"/>
    <w:rsid w:val="002C65C6"/>
    <w:rsid w:val="002D6E28"/>
    <w:rsid w:val="002E7535"/>
    <w:rsid w:val="0031111C"/>
    <w:rsid w:val="00316928"/>
    <w:rsid w:val="00317645"/>
    <w:rsid w:val="00322BC9"/>
    <w:rsid w:val="00332754"/>
    <w:rsid w:val="00337C24"/>
    <w:rsid w:val="00342C98"/>
    <w:rsid w:val="00346E4A"/>
    <w:rsid w:val="00352AE6"/>
    <w:rsid w:val="003554A2"/>
    <w:rsid w:val="00376875"/>
    <w:rsid w:val="00381764"/>
    <w:rsid w:val="00382389"/>
    <w:rsid w:val="00382434"/>
    <w:rsid w:val="00393D29"/>
    <w:rsid w:val="003A28AB"/>
    <w:rsid w:val="003A525F"/>
    <w:rsid w:val="003B45AA"/>
    <w:rsid w:val="003B578A"/>
    <w:rsid w:val="003B5ADC"/>
    <w:rsid w:val="003B6EFC"/>
    <w:rsid w:val="003C0E85"/>
    <w:rsid w:val="003C123A"/>
    <w:rsid w:val="003C262C"/>
    <w:rsid w:val="003C2EEF"/>
    <w:rsid w:val="003D461D"/>
    <w:rsid w:val="003D5D4F"/>
    <w:rsid w:val="004018F5"/>
    <w:rsid w:val="00401EFC"/>
    <w:rsid w:val="004217A5"/>
    <w:rsid w:val="0043257D"/>
    <w:rsid w:val="004463ED"/>
    <w:rsid w:val="00446E28"/>
    <w:rsid w:val="004524A5"/>
    <w:rsid w:val="00463D80"/>
    <w:rsid w:val="00467949"/>
    <w:rsid w:val="00470DAD"/>
    <w:rsid w:val="00472C2C"/>
    <w:rsid w:val="00485C85"/>
    <w:rsid w:val="00497DD4"/>
    <w:rsid w:val="004A7A2F"/>
    <w:rsid w:val="004B53F7"/>
    <w:rsid w:val="004B66E5"/>
    <w:rsid w:val="004C0A1A"/>
    <w:rsid w:val="004C1BBA"/>
    <w:rsid w:val="004C4856"/>
    <w:rsid w:val="004E0A87"/>
    <w:rsid w:val="004E396D"/>
    <w:rsid w:val="004E4C31"/>
    <w:rsid w:val="004F3674"/>
    <w:rsid w:val="004F46D0"/>
    <w:rsid w:val="004F5784"/>
    <w:rsid w:val="005030C3"/>
    <w:rsid w:val="00505BA4"/>
    <w:rsid w:val="005152C4"/>
    <w:rsid w:val="00517A03"/>
    <w:rsid w:val="0052126C"/>
    <w:rsid w:val="005254CE"/>
    <w:rsid w:val="005309C6"/>
    <w:rsid w:val="00534C60"/>
    <w:rsid w:val="00537644"/>
    <w:rsid w:val="00540907"/>
    <w:rsid w:val="00543DE0"/>
    <w:rsid w:val="00551C92"/>
    <w:rsid w:val="005653BC"/>
    <w:rsid w:val="005819D8"/>
    <w:rsid w:val="00584788"/>
    <w:rsid w:val="00594BBE"/>
    <w:rsid w:val="005969AB"/>
    <w:rsid w:val="00597412"/>
    <w:rsid w:val="005975EE"/>
    <w:rsid w:val="005A1FAC"/>
    <w:rsid w:val="005A512D"/>
    <w:rsid w:val="005B0A0B"/>
    <w:rsid w:val="005B0D4C"/>
    <w:rsid w:val="005B731A"/>
    <w:rsid w:val="005C1959"/>
    <w:rsid w:val="005C5035"/>
    <w:rsid w:val="005C6393"/>
    <w:rsid w:val="005C6E10"/>
    <w:rsid w:val="005D1AF1"/>
    <w:rsid w:val="005D45F7"/>
    <w:rsid w:val="005E0E75"/>
    <w:rsid w:val="005E16EC"/>
    <w:rsid w:val="005F4721"/>
    <w:rsid w:val="005F5D22"/>
    <w:rsid w:val="00612BA7"/>
    <w:rsid w:val="00622E5B"/>
    <w:rsid w:val="00626A3B"/>
    <w:rsid w:val="0063286E"/>
    <w:rsid w:val="00633BCE"/>
    <w:rsid w:val="00637C2F"/>
    <w:rsid w:val="00640A5C"/>
    <w:rsid w:val="0064441E"/>
    <w:rsid w:val="00644DE3"/>
    <w:rsid w:val="00662C4A"/>
    <w:rsid w:val="0067001B"/>
    <w:rsid w:val="00683417"/>
    <w:rsid w:val="00690827"/>
    <w:rsid w:val="00691C63"/>
    <w:rsid w:val="006A410C"/>
    <w:rsid w:val="006A7C4C"/>
    <w:rsid w:val="006B3F2A"/>
    <w:rsid w:val="006B7CF2"/>
    <w:rsid w:val="006E23EA"/>
    <w:rsid w:val="006E3508"/>
    <w:rsid w:val="006F1919"/>
    <w:rsid w:val="006F4EC3"/>
    <w:rsid w:val="00712423"/>
    <w:rsid w:val="00713151"/>
    <w:rsid w:val="00714831"/>
    <w:rsid w:val="00715102"/>
    <w:rsid w:val="007162C4"/>
    <w:rsid w:val="00724B87"/>
    <w:rsid w:val="00736BC1"/>
    <w:rsid w:val="00742573"/>
    <w:rsid w:val="0074506A"/>
    <w:rsid w:val="00746400"/>
    <w:rsid w:val="00750873"/>
    <w:rsid w:val="007566BB"/>
    <w:rsid w:val="00757E19"/>
    <w:rsid w:val="00760210"/>
    <w:rsid w:val="007612DE"/>
    <w:rsid w:val="00767FF1"/>
    <w:rsid w:val="007765ED"/>
    <w:rsid w:val="00780AC2"/>
    <w:rsid w:val="00780C71"/>
    <w:rsid w:val="0078378A"/>
    <w:rsid w:val="007931F0"/>
    <w:rsid w:val="007A17AB"/>
    <w:rsid w:val="007A40FB"/>
    <w:rsid w:val="007A4122"/>
    <w:rsid w:val="007A711F"/>
    <w:rsid w:val="007A7C03"/>
    <w:rsid w:val="007C6019"/>
    <w:rsid w:val="007D237E"/>
    <w:rsid w:val="007D3F88"/>
    <w:rsid w:val="007D6ECA"/>
    <w:rsid w:val="007E06B9"/>
    <w:rsid w:val="007E573F"/>
    <w:rsid w:val="007F0C71"/>
    <w:rsid w:val="007F3A7A"/>
    <w:rsid w:val="00811913"/>
    <w:rsid w:val="00812FAA"/>
    <w:rsid w:val="00815E1B"/>
    <w:rsid w:val="008168D8"/>
    <w:rsid w:val="008173AC"/>
    <w:rsid w:val="008177AC"/>
    <w:rsid w:val="00827638"/>
    <w:rsid w:val="008327BC"/>
    <w:rsid w:val="00836D77"/>
    <w:rsid w:val="008400CC"/>
    <w:rsid w:val="00846C06"/>
    <w:rsid w:val="00854A2D"/>
    <w:rsid w:val="008577BE"/>
    <w:rsid w:val="00862785"/>
    <w:rsid w:val="008629FB"/>
    <w:rsid w:val="00863156"/>
    <w:rsid w:val="00864707"/>
    <w:rsid w:val="008657B9"/>
    <w:rsid w:val="00870BD0"/>
    <w:rsid w:val="00870EF6"/>
    <w:rsid w:val="00887C35"/>
    <w:rsid w:val="008A0700"/>
    <w:rsid w:val="008A5EAC"/>
    <w:rsid w:val="008A6EE7"/>
    <w:rsid w:val="008B4C04"/>
    <w:rsid w:val="008B67C2"/>
    <w:rsid w:val="008D33EB"/>
    <w:rsid w:val="008F2A50"/>
    <w:rsid w:val="008F3132"/>
    <w:rsid w:val="00900620"/>
    <w:rsid w:val="00907FAF"/>
    <w:rsid w:val="00915053"/>
    <w:rsid w:val="009176F4"/>
    <w:rsid w:val="00923A18"/>
    <w:rsid w:val="00926048"/>
    <w:rsid w:val="00931666"/>
    <w:rsid w:val="009409AE"/>
    <w:rsid w:val="00940AAC"/>
    <w:rsid w:val="00940EDD"/>
    <w:rsid w:val="00941332"/>
    <w:rsid w:val="00943E64"/>
    <w:rsid w:val="00946B3B"/>
    <w:rsid w:val="00947087"/>
    <w:rsid w:val="00954471"/>
    <w:rsid w:val="00971FAD"/>
    <w:rsid w:val="00981DAA"/>
    <w:rsid w:val="00983B0E"/>
    <w:rsid w:val="009902C9"/>
    <w:rsid w:val="0099105A"/>
    <w:rsid w:val="0099525F"/>
    <w:rsid w:val="009A19FC"/>
    <w:rsid w:val="009A67F4"/>
    <w:rsid w:val="009C4118"/>
    <w:rsid w:val="009C4286"/>
    <w:rsid w:val="009D329E"/>
    <w:rsid w:val="009D3BA7"/>
    <w:rsid w:val="009E31D4"/>
    <w:rsid w:val="009E3FE2"/>
    <w:rsid w:val="009F0D49"/>
    <w:rsid w:val="009F1A9A"/>
    <w:rsid w:val="009F257D"/>
    <w:rsid w:val="009F6E2F"/>
    <w:rsid w:val="00A006A3"/>
    <w:rsid w:val="00A01A9C"/>
    <w:rsid w:val="00A02CE7"/>
    <w:rsid w:val="00A03A13"/>
    <w:rsid w:val="00A0650F"/>
    <w:rsid w:val="00A10E3F"/>
    <w:rsid w:val="00A133A8"/>
    <w:rsid w:val="00A144A5"/>
    <w:rsid w:val="00A15766"/>
    <w:rsid w:val="00A16B1B"/>
    <w:rsid w:val="00A260B1"/>
    <w:rsid w:val="00A445F1"/>
    <w:rsid w:val="00A50B9B"/>
    <w:rsid w:val="00A55D74"/>
    <w:rsid w:val="00A57997"/>
    <w:rsid w:val="00A60346"/>
    <w:rsid w:val="00A77AD9"/>
    <w:rsid w:val="00A81E2D"/>
    <w:rsid w:val="00A85C2D"/>
    <w:rsid w:val="00A863B0"/>
    <w:rsid w:val="00A87D37"/>
    <w:rsid w:val="00A92F1B"/>
    <w:rsid w:val="00A9438A"/>
    <w:rsid w:val="00A94DEF"/>
    <w:rsid w:val="00AA18EE"/>
    <w:rsid w:val="00AA2B81"/>
    <w:rsid w:val="00AA7258"/>
    <w:rsid w:val="00AB2938"/>
    <w:rsid w:val="00AC1426"/>
    <w:rsid w:val="00AC38FC"/>
    <w:rsid w:val="00AC3AF5"/>
    <w:rsid w:val="00AC6BBF"/>
    <w:rsid w:val="00AD1AD3"/>
    <w:rsid w:val="00AD22DC"/>
    <w:rsid w:val="00AF0964"/>
    <w:rsid w:val="00AF5641"/>
    <w:rsid w:val="00B23EE2"/>
    <w:rsid w:val="00B30F03"/>
    <w:rsid w:val="00B4409A"/>
    <w:rsid w:val="00B67827"/>
    <w:rsid w:val="00B67F28"/>
    <w:rsid w:val="00B76E48"/>
    <w:rsid w:val="00B80B0E"/>
    <w:rsid w:val="00B92632"/>
    <w:rsid w:val="00B92D29"/>
    <w:rsid w:val="00B93710"/>
    <w:rsid w:val="00B96436"/>
    <w:rsid w:val="00BA0D80"/>
    <w:rsid w:val="00BA3D18"/>
    <w:rsid w:val="00BA3E95"/>
    <w:rsid w:val="00BA4B2C"/>
    <w:rsid w:val="00BB0864"/>
    <w:rsid w:val="00BB5551"/>
    <w:rsid w:val="00BD0502"/>
    <w:rsid w:val="00BE10D7"/>
    <w:rsid w:val="00BE3493"/>
    <w:rsid w:val="00BE385B"/>
    <w:rsid w:val="00BF1811"/>
    <w:rsid w:val="00BF292E"/>
    <w:rsid w:val="00BF7ABA"/>
    <w:rsid w:val="00C07B96"/>
    <w:rsid w:val="00C11C4F"/>
    <w:rsid w:val="00C153B0"/>
    <w:rsid w:val="00C17019"/>
    <w:rsid w:val="00C22F91"/>
    <w:rsid w:val="00C357A2"/>
    <w:rsid w:val="00C377A3"/>
    <w:rsid w:val="00C40ACD"/>
    <w:rsid w:val="00C4790B"/>
    <w:rsid w:val="00C61182"/>
    <w:rsid w:val="00C615DC"/>
    <w:rsid w:val="00C627F6"/>
    <w:rsid w:val="00C7142C"/>
    <w:rsid w:val="00C75E31"/>
    <w:rsid w:val="00C7662D"/>
    <w:rsid w:val="00C769AA"/>
    <w:rsid w:val="00C852CF"/>
    <w:rsid w:val="00C95611"/>
    <w:rsid w:val="00CA046D"/>
    <w:rsid w:val="00CA5E25"/>
    <w:rsid w:val="00CB0F19"/>
    <w:rsid w:val="00CB6D87"/>
    <w:rsid w:val="00CC04A5"/>
    <w:rsid w:val="00CC06B4"/>
    <w:rsid w:val="00CC589E"/>
    <w:rsid w:val="00CC715F"/>
    <w:rsid w:val="00CC7898"/>
    <w:rsid w:val="00CC7A29"/>
    <w:rsid w:val="00CC7EEB"/>
    <w:rsid w:val="00CD19BE"/>
    <w:rsid w:val="00CD42C0"/>
    <w:rsid w:val="00CD4744"/>
    <w:rsid w:val="00CD7705"/>
    <w:rsid w:val="00CE405B"/>
    <w:rsid w:val="00CE6F20"/>
    <w:rsid w:val="00CE7129"/>
    <w:rsid w:val="00CF13CF"/>
    <w:rsid w:val="00CF207C"/>
    <w:rsid w:val="00CF4DC7"/>
    <w:rsid w:val="00D02670"/>
    <w:rsid w:val="00D077D2"/>
    <w:rsid w:val="00D100B7"/>
    <w:rsid w:val="00D15CBC"/>
    <w:rsid w:val="00D16B86"/>
    <w:rsid w:val="00D20AE9"/>
    <w:rsid w:val="00D22956"/>
    <w:rsid w:val="00D36262"/>
    <w:rsid w:val="00D53500"/>
    <w:rsid w:val="00D54C5A"/>
    <w:rsid w:val="00D57427"/>
    <w:rsid w:val="00D612AE"/>
    <w:rsid w:val="00D82EF8"/>
    <w:rsid w:val="00D837F3"/>
    <w:rsid w:val="00D903AF"/>
    <w:rsid w:val="00D934C9"/>
    <w:rsid w:val="00D97B0D"/>
    <w:rsid w:val="00DA1499"/>
    <w:rsid w:val="00DA693D"/>
    <w:rsid w:val="00DC1384"/>
    <w:rsid w:val="00DD72C4"/>
    <w:rsid w:val="00DF2304"/>
    <w:rsid w:val="00E05E04"/>
    <w:rsid w:val="00E06897"/>
    <w:rsid w:val="00E10485"/>
    <w:rsid w:val="00E20B7E"/>
    <w:rsid w:val="00E23280"/>
    <w:rsid w:val="00E255B9"/>
    <w:rsid w:val="00E2702E"/>
    <w:rsid w:val="00E32C75"/>
    <w:rsid w:val="00E35E1D"/>
    <w:rsid w:val="00E44504"/>
    <w:rsid w:val="00E50A98"/>
    <w:rsid w:val="00E51AA2"/>
    <w:rsid w:val="00E55B77"/>
    <w:rsid w:val="00E72D51"/>
    <w:rsid w:val="00E84DD4"/>
    <w:rsid w:val="00E85D75"/>
    <w:rsid w:val="00E87157"/>
    <w:rsid w:val="00EA426E"/>
    <w:rsid w:val="00EA5492"/>
    <w:rsid w:val="00EA683A"/>
    <w:rsid w:val="00EB15BE"/>
    <w:rsid w:val="00EC5CA9"/>
    <w:rsid w:val="00EF47D4"/>
    <w:rsid w:val="00EF48E1"/>
    <w:rsid w:val="00EF7A21"/>
    <w:rsid w:val="00F07519"/>
    <w:rsid w:val="00F10833"/>
    <w:rsid w:val="00F13EAF"/>
    <w:rsid w:val="00F14897"/>
    <w:rsid w:val="00F20A18"/>
    <w:rsid w:val="00F2122E"/>
    <w:rsid w:val="00F21D1A"/>
    <w:rsid w:val="00F269F3"/>
    <w:rsid w:val="00F411B4"/>
    <w:rsid w:val="00F446B3"/>
    <w:rsid w:val="00F538C7"/>
    <w:rsid w:val="00F545A5"/>
    <w:rsid w:val="00F56475"/>
    <w:rsid w:val="00F60ADB"/>
    <w:rsid w:val="00F734A9"/>
    <w:rsid w:val="00F74665"/>
    <w:rsid w:val="00F82EAA"/>
    <w:rsid w:val="00FA4517"/>
    <w:rsid w:val="00FC6566"/>
    <w:rsid w:val="00FC7D50"/>
    <w:rsid w:val="00FE1920"/>
    <w:rsid w:val="00FE2C18"/>
    <w:rsid w:val="00FE4DF9"/>
    <w:rsid w:val="00FE5DDC"/>
    <w:rsid w:val="00FF201D"/>
    <w:rsid w:val="00FF66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74DD8759"/>
  <w15:chartTrackingRefBased/>
  <w15:docId w15:val="{74299ADD-9564-4DA9-93E4-12E1445C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132"/>
    <w:pPr>
      <w:spacing w:after="240"/>
    </w:pPr>
    <w:rPr>
      <w:rFonts w:ascii="Arial" w:hAnsi="Arial"/>
      <w:sz w:val="22"/>
      <w:lang w:eastAsia="en-US"/>
    </w:rPr>
  </w:style>
  <w:style w:type="paragraph" w:styleId="Heading1">
    <w:name w:val="heading 1"/>
    <w:basedOn w:val="Normal"/>
    <w:next w:val="Normal"/>
    <w:link w:val="Heading1Char"/>
    <w:qFormat/>
    <w:rsid w:val="00943E64"/>
    <w:pPr>
      <w:keepNext/>
      <w:spacing w:before="240" w:after="60"/>
      <w:outlineLvl w:val="0"/>
    </w:pPr>
    <w:rPr>
      <w:rFonts w:cs="Arial"/>
      <w:b/>
      <w:bCs/>
      <w:color w:val="416CBB"/>
      <w:kern w:val="32"/>
      <w:sz w:val="32"/>
      <w:szCs w:val="32"/>
    </w:rPr>
  </w:style>
  <w:style w:type="paragraph" w:styleId="Heading2">
    <w:name w:val="heading 2"/>
    <w:aliases w:val="Reset numbering,PARA2,S Heading,S Heading 2,h2,Numbered - 2,1.1.1 heading,Major heading,KJL:1st Level,m,Body Text (Reset numbering),H2,TF-Overskrit 2,h2 main heading,2m,h 2,B Sub/Bold,B Sub/Bold1,B Sub/Bold2,B Sub/Bold11,h2 main heading1,L2,B"/>
    <w:basedOn w:val="Normal"/>
    <w:next w:val="Normal"/>
    <w:link w:val="Heading2Char"/>
    <w:qFormat/>
    <w:rsid w:val="00D20AE9"/>
    <w:pPr>
      <w:spacing w:before="240" w:after="60"/>
      <w:jc w:val="both"/>
      <w:outlineLvl w:val="1"/>
    </w:pPr>
    <w:rPr>
      <w:rFonts w:cs="Arial"/>
      <w:bCs/>
      <w:iCs/>
      <w:szCs w:val="28"/>
    </w:rPr>
  </w:style>
  <w:style w:type="paragraph" w:styleId="Heading3">
    <w:name w:val="heading 3"/>
    <w:aliases w:val="h3,heading3,heading3+,3,Numbered para,Minor,Level 1 - 1,Level 2.1,Oscar Faber 3,H3,Numbered - 3,HeadC,h31,h32,h33,Level 1 - 2,C Sub-Sub/Italic,h3 sub heading,Head 31,Head 32,C Sub-Sub/Italic1,h3 sub heading1,3m,GPH Heading 3,Sub-section,H31,L3"/>
    <w:basedOn w:val="Heading2"/>
    <w:next w:val="Normal"/>
    <w:link w:val="Heading3Char"/>
    <w:qFormat/>
    <w:rsid w:val="00D20AE9"/>
    <w:pPr>
      <w:outlineLvl w:val="2"/>
    </w:pPr>
    <w:rPr>
      <w:bCs w:val="0"/>
      <w:szCs w:val="26"/>
    </w:rPr>
  </w:style>
  <w:style w:type="paragraph" w:styleId="Heading4">
    <w:name w:val="heading 4"/>
    <w:aliases w:val="Sub-Minor,Level 2 - a,H4,dash,h4,PARA4,Map Title,alpha,Te,Heading 4 Char,Heading 4 Char1 Char,Heading 4 Char Char Char Char,Heading 4 Char Char1,Heading 4 Char1 Char Char,Heading 4 Char Char Char,n,h4 sub sub heading,D Sub-Sub/Plain,4,(i)"/>
    <w:basedOn w:val="Normal"/>
    <w:next w:val="Normal"/>
    <w:qFormat/>
    <w:rsid w:val="00D20AE9"/>
    <w:pPr>
      <w:keepNext/>
      <w:spacing w:before="240" w:after="60"/>
      <w:outlineLvl w:val="3"/>
    </w:pPr>
    <w:rPr>
      <w:rFonts w:ascii="Times New Roman" w:hAnsi="Times New Roman"/>
      <w:b/>
      <w:bCs/>
      <w:sz w:val="28"/>
      <w:szCs w:val="28"/>
    </w:rPr>
  </w:style>
  <w:style w:type="paragraph" w:styleId="Heading5">
    <w:name w:val="heading 5"/>
    <w:aliases w:val="Block Label,Bullet1,Bullet2,Level 3 - i,T:,Heading 5(unused),Level 3 - (i),Third Level Heading,h5,Response Type,Response Type1,Response Type2,Response Type3,Response Type4,Response Type5,Response Type6,Response Type7,Appendix A to X,H5"/>
    <w:basedOn w:val="Normal"/>
    <w:next w:val="Normal"/>
    <w:qFormat/>
    <w:rsid w:val="00D20AE9"/>
    <w:pPr>
      <w:spacing w:before="240" w:after="60"/>
      <w:outlineLvl w:val="4"/>
    </w:pPr>
    <w:rPr>
      <w:b/>
      <w:bCs/>
      <w:i/>
      <w:iCs/>
      <w:sz w:val="26"/>
      <w:szCs w:val="26"/>
    </w:rPr>
  </w:style>
  <w:style w:type="paragraph" w:styleId="Heading6">
    <w:name w:val="heading 6"/>
    <w:basedOn w:val="Normal"/>
    <w:next w:val="Normal"/>
    <w:qFormat/>
    <w:rsid w:val="00D20AE9"/>
    <w:pPr>
      <w:spacing w:before="240" w:after="60"/>
      <w:outlineLvl w:val="5"/>
    </w:pPr>
    <w:rPr>
      <w:rFonts w:ascii="Times New Roman" w:hAnsi="Times New Roman"/>
      <w:b/>
      <w:bCs/>
      <w:szCs w:val="22"/>
    </w:rPr>
  </w:style>
  <w:style w:type="paragraph" w:styleId="Heading7">
    <w:name w:val="heading 7"/>
    <w:basedOn w:val="Normal"/>
    <w:next w:val="Normal"/>
    <w:qFormat/>
    <w:rsid w:val="00D20AE9"/>
    <w:pPr>
      <w:spacing w:before="240" w:after="60"/>
      <w:outlineLvl w:val="6"/>
    </w:pPr>
    <w:rPr>
      <w:rFonts w:ascii="Times New Roman" w:hAnsi="Times New Roman"/>
      <w:szCs w:val="24"/>
    </w:rPr>
  </w:style>
  <w:style w:type="paragraph" w:styleId="Heading8">
    <w:name w:val="heading 8"/>
    <w:basedOn w:val="Normal"/>
    <w:next w:val="Normal"/>
    <w:qFormat/>
    <w:rsid w:val="00D20AE9"/>
    <w:pPr>
      <w:keepNext/>
      <w:spacing w:before="360" w:after="120"/>
      <w:outlineLvl w:val="7"/>
    </w:pPr>
    <w:rPr>
      <w:b/>
      <w:iCs/>
      <w:szCs w:val="24"/>
    </w:rPr>
  </w:style>
  <w:style w:type="paragraph" w:styleId="Heading9">
    <w:name w:val="heading 9"/>
    <w:basedOn w:val="Normal"/>
    <w:next w:val="Normal"/>
    <w:qFormat/>
    <w:rsid w:val="00D20AE9"/>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43E64"/>
    <w:rPr>
      <w:rFonts w:ascii="Arial" w:hAnsi="Arial" w:cs="Arial"/>
      <w:b/>
      <w:bCs/>
      <w:color w:val="416CBB"/>
      <w:kern w:val="32"/>
      <w:sz w:val="32"/>
      <w:szCs w:val="32"/>
      <w:lang w:val="en-GB" w:eastAsia="en-US" w:bidi="ar-SA"/>
    </w:rPr>
  </w:style>
  <w:style w:type="paragraph" w:customStyle="1" w:styleId="DefaultParagraphFontParaCharCharChar1Char">
    <w:name w:val="Default Paragraph Font Para Char Char Char1 Char"/>
    <w:basedOn w:val="Normal"/>
    <w:rsid w:val="00BB0864"/>
    <w:pPr>
      <w:keepLines/>
      <w:spacing w:after="160" w:line="240" w:lineRule="exact"/>
      <w:ind w:left="2977"/>
    </w:pPr>
    <w:rPr>
      <w:rFonts w:ascii="Tahoma" w:hAnsi="Tahoma"/>
      <w:sz w:val="20"/>
      <w:szCs w:val="24"/>
      <w:lang w:val="en-US"/>
    </w:rPr>
  </w:style>
  <w:style w:type="character" w:customStyle="1" w:styleId="Heading2Char">
    <w:name w:val="Heading 2 Char"/>
    <w:aliases w:val="Reset numbering Char,PARA2 Char,S Heading Char,S Heading 2 Char,h2 Char,Numbered - 2 Char,1.1.1 heading Char,Major heading Char,KJL:1st Level Char,m Char,Body Text (Reset numbering) Char,H2 Char,TF-Overskrit 2 Char,h2 main heading Char"/>
    <w:link w:val="Heading2"/>
    <w:rsid w:val="00D20AE9"/>
    <w:rPr>
      <w:rFonts w:ascii="Arial" w:hAnsi="Arial" w:cs="Arial"/>
      <w:bCs/>
      <w:iCs/>
      <w:sz w:val="22"/>
      <w:szCs w:val="28"/>
      <w:lang w:val="en-GB" w:eastAsia="en-US" w:bidi="ar-SA"/>
    </w:rPr>
  </w:style>
  <w:style w:type="character" w:customStyle="1" w:styleId="Heading3Char">
    <w:name w:val="Heading 3 Char"/>
    <w:aliases w:val="h3 Char,heading3 Char,heading3+ Char,3 Char,Numbered para Char,Minor Char,Level 1 - 1 Char,Level 2.1 Char,Oscar Faber 3 Char,H3 Char,Numbered - 3 Char,HeadC Char,h31 Char,h32 Char,h33 Char,Level 1 - 2 Char,C Sub-Sub/Italic Char,3m Char"/>
    <w:link w:val="Heading3"/>
    <w:rsid w:val="00D20AE9"/>
    <w:rPr>
      <w:rFonts w:ascii="Arial" w:hAnsi="Arial" w:cs="Arial"/>
      <w:bCs/>
      <w:iCs/>
      <w:sz w:val="22"/>
      <w:szCs w:val="26"/>
      <w:lang w:val="en-GB" w:eastAsia="en-US" w:bidi="ar-SA"/>
    </w:rPr>
  </w:style>
  <w:style w:type="paragraph" w:customStyle="1" w:styleId="BodyText1">
    <w:name w:val="Body Text1"/>
    <w:basedOn w:val="Normal"/>
    <w:rsid w:val="00BB0864"/>
    <w:pPr>
      <w:overflowPunct w:val="0"/>
      <w:autoSpaceDE w:val="0"/>
      <w:autoSpaceDN w:val="0"/>
      <w:adjustRightInd w:val="0"/>
      <w:spacing w:before="240" w:after="120"/>
      <w:textAlignment w:val="baseline"/>
    </w:pPr>
    <w:rPr>
      <w:noProof/>
      <w:sz w:val="20"/>
      <w:lang w:val="en-US"/>
    </w:rPr>
  </w:style>
  <w:style w:type="character" w:customStyle="1" w:styleId="Style11ptBold">
    <w:name w:val="Style 11 pt Bold"/>
    <w:rsid w:val="00BB0864"/>
    <w:rPr>
      <w:b/>
      <w:bCs/>
      <w:sz w:val="28"/>
    </w:rPr>
  </w:style>
  <w:style w:type="paragraph" w:customStyle="1" w:styleId="Style14ptBoldCentered">
    <w:name w:val="Style 14 pt Bold Centered"/>
    <w:basedOn w:val="Normal"/>
    <w:rsid w:val="00C22F91"/>
    <w:rPr>
      <w:b/>
      <w:bCs/>
      <w:sz w:val="28"/>
    </w:rPr>
  </w:style>
  <w:style w:type="paragraph" w:customStyle="1" w:styleId="Style11ptBoldCentered">
    <w:name w:val="Style 11 pt Bold Centered"/>
    <w:basedOn w:val="Normal"/>
    <w:rsid w:val="00C22F91"/>
    <w:rPr>
      <w:b/>
      <w:bCs/>
      <w:sz w:val="28"/>
    </w:rPr>
  </w:style>
  <w:style w:type="paragraph" w:styleId="ListBullet">
    <w:name w:val="List Bullet"/>
    <w:basedOn w:val="Normal"/>
    <w:autoRedefine/>
    <w:rsid w:val="00C22F91"/>
    <w:pPr>
      <w:numPr>
        <w:numId w:val="1"/>
      </w:numPr>
      <w:overflowPunct w:val="0"/>
      <w:autoSpaceDE w:val="0"/>
      <w:autoSpaceDN w:val="0"/>
      <w:adjustRightInd w:val="0"/>
      <w:spacing w:before="130" w:after="0"/>
      <w:jc w:val="both"/>
      <w:textAlignment w:val="baseline"/>
    </w:pPr>
    <w:rPr>
      <w:rFonts w:ascii="Times New Roman" w:hAnsi="Times New Roman"/>
    </w:rPr>
  </w:style>
  <w:style w:type="character" w:styleId="Hyperlink">
    <w:name w:val="Hyperlink"/>
    <w:rsid w:val="00C22F91"/>
    <w:rPr>
      <w:color w:val="0000FF"/>
      <w:u w:val="single"/>
    </w:rPr>
  </w:style>
  <w:style w:type="paragraph" w:customStyle="1" w:styleId="Style1">
    <w:name w:val="Style1"/>
    <w:next w:val="BodyText1"/>
    <w:rsid w:val="00172176"/>
    <w:rPr>
      <w:rFonts w:ascii="Arial" w:hAnsi="Arial" w:cs="Arial"/>
      <w:b/>
      <w:sz w:val="24"/>
      <w:szCs w:val="24"/>
      <w:lang w:eastAsia="en-US"/>
    </w:rPr>
  </w:style>
  <w:style w:type="paragraph" w:styleId="ListBullet2">
    <w:name w:val="List Bullet 2"/>
    <w:basedOn w:val="Normal"/>
    <w:rsid w:val="003B578A"/>
    <w:pPr>
      <w:numPr>
        <w:numId w:val="2"/>
      </w:numPr>
    </w:pPr>
  </w:style>
  <w:style w:type="paragraph" w:customStyle="1" w:styleId="Bullet">
    <w:name w:val="Bullet"/>
    <w:basedOn w:val="ListBullet2"/>
    <w:rsid w:val="003A28AB"/>
    <w:pPr>
      <w:numPr>
        <w:numId w:val="0"/>
      </w:numPr>
      <w:spacing w:after="120"/>
    </w:pPr>
  </w:style>
  <w:style w:type="paragraph" w:styleId="Subtitle">
    <w:name w:val="Subtitle"/>
    <w:basedOn w:val="Normal"/>
    <w:qFormat/>
    <w:rsid w:val="00172176"/>
    <w:pPr>
      <w:spacing w:after="60"/>
      <w:jc w:val="center"/>
      <w:outlineLvl w:val="1"/>
    </w:pPr>
    <w:rPr>
      <w:rFonts w:cs="Arial"/>
      <w:szCs w:val="24"/>
    </w:rPr>
  </w:style>
  <w:style w:type="paragraph" w:customStyle="1" w:styleId="Numbereda">
    <w:name w:val="Numbered a)"/>
    <w:next w:val="Normal"/>
    <w:rsid w:val="003A28AB"/>
    <w:pPr>
      <w:numPr>
        <w:numId w:val="3"/>
      </w:numPr>
      <w:spacing w:before="60" w:after="60"/>
      <w:ind w:left="935" w:hanging="357"/>
    </w:pPr>
    <w:rPr>
      <w:rFonts w:ascii="Arial" w:hAnsi="Arial" w:cs="Arial"/>
      <w:sz w:val="22"/>
      <w:szCs w:val="28"/>
      <w:lang w:eastAsia="en-US"/>
    </w:rPr>
  </w:style>
  <w:style w:type="paragraph" w:customStyle="1" w:styleId="01-Level1-BB">
    <w:name w:val="01-Level1-BB"/>
    <w:basedOn w:val="Normal"/>
    <w:next w:val="Normal"/>
    <w:rsid w:val="008F3132"/>
    <w:pPr>
      <w:numPr>
        <w:numId w:val="4"/>
      </w:numPr>
      <w:spacing w:after="0"/>
      <w:jc w:val="both"/>
    </w:pPr>
    <w:rPr>
      <w:b/>
    </w:rPr>
  </w:style>
  <w:style w:type="paragraph" w:customStyle="1" w:styleId="01-Level2-BB">
    <w:name w:val="01-Level2-BB"/>
    <w:basedOn w:val="Normal"/>
    <w:next w:val="Normal"/>
    <w:rsid w:val="008F3132"/>
    <w:pPr>
      <w:numPr>
        <w:ilvl w:val="1"/>
        <w:numId w:val="4"/>
      </w:numPr>
      <w:spacing w:after="0"/>
      <w:jc w:val="both"/>
    </w:pPr>
  </w:style>
  <w:style w:type="paragraph" w:customStyle="1" w:styleId="01-Level3-BB">
    <w:name w:val="01-Level3-BB"/>
    <w:basedOn w:val="Normal"/>
    <w:next w:val="Normal"/>
    <w:rsid w:val="008F3132"/>
    <w:pPr>
      <w:tabs>
        <w:tab w:val="num" w:pos="2880"/>
      </w:tabs>
      <w:spacing w:after="0"/>
      <w:ind w:left="2880" w:hanging="1440"/>
      <w:jc w:val="both"/>
    </w:pPr>
  </w:style>
  <w:style w:type="paragraph" w:customStyle="1" w:styleId="01-Level4-BB">
    <w:name w:val="01-Level4-BB"/>
    <w:basedOn w:val="Normal"/>
    <w:next w:val="Normal"/>
    <w:rsid w:val="008F3132"/>
    <w:pPr>
      <w:tabs>
        <w:tab w:val="num" w:pos="2880"/>
      </w:tabs>
      <w:spacing w:after="0"/>
      <w:ind w:left="2880" w:hanging="1440"/>
      <w:jc w:val="both"/>
    </w:pPr>
  </w:style>
  <w:style w:type="paragraph" w:customStyle="1" w:styleId="01-Level5-BB">
    <w:name w:val="01-Level5-BB"/>
    <w:basedOn w:val="Normal"/>
    <w:next w:val="Normal"/>
    <w:rsid w:val="008F3132"/>
    <w:pPr>
      <w:tabs>
        <w:tab w:val="num" w:pos="2880"/>
      </w:tabs>
      <w:spacing w:after="0"/>
      <w:ind w:left="2880" w:hanging="1440"/>
      <w:jc w:val="both"/>
    </w:pPr>
  </w:style>
  <w:style w:type="paragraph" w:customStyle="1" w:styleId="Char1CharCharChar">
    <w:name w:val="Char1 Char Char Char"/>
    <w:basedOn w:val="Normal"/>
    <w:rsid w:val="008F3132"/>
    <w:pPr>
      <w:spacing w:after="160" w:line="240" w:lineRule="exact"/>
    </w:pPr>
    <w:rPr>
      <w:rFonts w:ascii="Verdana" w:hAnsi="Verdana"/>
      <w:sz w:val="20"/>
      <w:lang w:val="en-US"/>
    </w:rPr>
  </w:style>
  <w:style w:type="paragraph" w:styleId="Header">
    <w:name w:val="header"/>
    <w:basedOn w:val="Normal"/>
    <w:next w:val="BodyText"/>
    <w:autoRedefine/>
    <w:rsid w:val="00713151"/>
    <w:pPr>
      <w:tabs>
        <w:tab w:val="center" w:pos="4153"/>
        <w:tab w:val="right" w:pos="8306"/>
      </w:tabs>
      <w:spacing w:after="480"/>
      <w:outlineLvl w:val="0"/>
    </w:pPr>
    <w:rPr>
      <w:rFonts w:cs="Arial"/>
      <w:b/>
      <w:bCs/>
      <w:sz w:val="16"/>
      <w:szCs w:val="16"/>
    </w:rPr>
  </w:style>
  <w:style w:type="paragraph" w:styleId="BodyText">
    <w:name w:val="Body Text"/>
    <w:basedOn w:val="Normal"/>
    <w:rsid w:val="00A133A8"/>
    <w:pPr>
      <w:numPr>
        <w:ilvl w:val="1"/>
        <w:numId w:val="5"/>
      </w:numPr>
      <w:outlineLvl w:val="1"/>
    </w:pPr>
    <w:rPr>
      <w:sz w:val="24"/>
    </w:rPr>
  </w:style>
  <w:style w:type="paragraph" w:styleId="BodyTextIndent">
    <w:name w:val="Body Text Indent"/>
    <w:basedOn w:val="Normal"/>
    <w:rsid w:val="00A133A8"/>
    <w:pPr>
      <w:numPr>
        <w:ilvl w:val="2"/>
        <w:numId w:val="5"/>
      </w:numPr>
      <w:spacing w:after="120"/>
    </w:pPr>
    <w:rPr>
      <w:sz w:val="24"/>
    </w:rPr>
  </w:style>
  <w:style w:type="paragraph" w:styleId="Footer">
    <w:name w:val="footer"/>
    <w:aliases w:val="fo"/>
    <w:basedOn w:val="Normal"/>
    <w:rsid w:val="00A133A8"/>
    <w:pPr>
      <w:tabs>
        <w:tab w:val="center" w:pos="4153"/>
        <w:tab w:val="right" w:pos="8306"/>
      </w:tabs>
    </w:pPr>
    <w:rPr>
      <w:sz w:val="24"/>
    </w:rPr>
  </w:style>
  <w:style w:type="paragraph" w:customStyle="1" w:styleId="StyleHeading120pt">
    <w:name w:val="Style Heading 1 + 20 pt"/>
    <w:basedOn w:val="Heading1"/>
    <w:rsid w:val="002B361D"/>
    <w:pPr>
      <w:overflowPunct w:val="0"/>
      <w:autoSpaceDE w:val="0"/>
      <w:autoSpaceDN w:val="0"/>
      <w:adjustRightInd w:val="0"/>
      <w:spacing w:before="0" w:after="440"/>
      <w:ind w:left="431" w:hanging="431"/>
      <w:textAlignment w:val="baseline"/>
    </w:pPr>
    <w:rPr>
      <w:rFonts w:cs="Times New Roman"/>
      <w:noProof/>
      <w:color w:val="566BBA"/>
      <w:kern w:val="0"/>
      <w:sz w:val="28"/>
      <w:szCs w:val="12"/>
    </w:rPr>
  </w:style>
  <w:style w:type="paragraph" w:styleId="BodyTextIndent2">
    <w:name w:val="Body Text Indent 2"/>
    <w:basedOn w:val="Normal"/>
    <w:rsid w:val="002B361D"/>
    <w:pPr>
      <w:spacing w:after="120" w:line="480" w:lineRule="auto"/>
      <w:ind w:left="283"/>
    </w:pPr>
  </w:style>
  <w:style w:type="paragraph" w:customStyle="1" w:styleId="Body">
    <w:name w:val="Body"/>
    <w:rsid w:val="002B361D"/>
    <w:pPr>
      <w:tabs>
        <w:tab w:val="left" w:pos="360"/>
      </w:tabs>
    </w:pPr>
    <w:rPr>
      <w:rFonts w:ascii="Arial" w:hAnsi="Arial"/>
      <w:sz w:val="22"/>
      <w:lang w:val="en-US" w:eastAsia="en-US"/>
    </w:rPr>
  </w:style>
  <w:style w:type="character" w:styleId="Strong">
    <w:name w:val="Strong"/>
    <w:qFormat/>
    <w:rsid w:val="002B361D"/>
    <w:rPr>
      <w:b/>
      <w:bCs/>
    </w:rPr>
  </w:style>
  <w:style w:type="paragraph" w:customStyle="1" w:styleId="Body1">
    <w:name w:val="Body 1"/>
    <w:basedOn w:val="Normal"/>
    <w:rsid w:val="002B361D"/>
    <w:pPr>
      <w:spacing w:after="140" w:line="290" w:lineRule="auto"/>
      <w:ind w:left="680"/>
      <w:jc w:val="both"/>
    </w:pPr>
    <w:rPr>
      <w:kern w:val="20"/>
      <w:sz w:val="20"/>
      <w:szCs w:val="24"/>
    </w:rPr>
  </w:style>
  <w:style w:type="paragraph" w:customStyle="1" w:styleId="roman2">
    <w:name w:val="roman 2"/>
    <w:basedOn w:val="Normal"/>
    <w:rsid w:val="002B361D"/>
    <w:pPr>
      <w:spacing w:after="140" w:line="290" w:lineRule="auto"/>
      <w:jc w:val="both"/>
    </w:pPr>
    <w:rPr>
      <w:kern w:val="20"/>
      <w:sz w:val="20"/>
    </w:rPr>
  </w:style>
  <w:style w:type="paragraph" w:customStyle="1" w:styleId="UCAlpha1">
    <w:name w:val="UCAlpha 1"/>
    <w:basedOn w:val="Normal"/>
    <w:rsid w:val="002B361D"/>
    <w:pPr>
      <w:spacing w:after="140" w:line="290" w:lineRule="auto"/>
      <w:jc w:val="both"/>
    </w:pPr>
    <w:rPr>
      <w:kern w:val="20"/>
      <w:sz w:val="20"/>
      <w:szCs w:val="24"/>
    </w:rPr>
  </w:style>
  <w:style w:type="paragraph" w:customStyle="1" w:styleId="dashbullet2">
    <w:name w:val="dash bullet 2"/>
    <w:basedOn w:val="Normal"/>
    <w:rsid w:val="002B361D"/>
    <w:pPr>
      <w:numPr>
        <w:numId w:val="6"/>
      </w:numPr>
      <w:spacing w:after="140" w:line="290" w:lineRule="auto"/>
      <w:jc w:val="both"/>
    </w:pPr>
    <w:rPr>
      <w:kern w:val="20"/>
      <w:sz w:val="20"/>
      <w:szCs w:val="24"/>
    </w:rPr>
  </w:style>
  <w:style w:type="paragraph" w:customStyle="1" w:styleId="dashbullet3">
    <w:name w:val="dash bullet 3"/>
    <w:basedOn w:val="Normal"/>
    <w:rsid w:val="002B361D"/>
    <w:pPr>
      <w:numPr>
        <w:numId w:val="7"/>
      </w:numPr>
      <w:spacing w:after="140" w:line="290" w:lineRule="auto"/>
      <w:jc w:val="both"/>
    </w:pPr>
    <w:rPr>
      <w:kern w:val="20"/>
      <w:sz w:val="20"/>
      <w:szCs w:val="24"/>
    </w:rPr>
  </w:style>
  <w:style w:type="paragraph" w:styleId="List2">
    <w:name w:val="List 2"/>
    <w:basedOn w:val="Normal"/>
    <w:rsid w:val="00931666"/>
    <w:pPr>
      <w:ind w:left="566" w:hanging="283"/>
    </w:pPr>
  </w:style>
  <w:style w:type="table" w:styleId="TableGrid">
    <w:name w:val="Table Grid"/>
    <w:basedOn w:val="TableNormal"/>
    <w:rsid w:val="00931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BF1811"/>
  </w:style>
  <w:style w:type="paragraph" w:styleId="TOC2">
    <w:name w:val="toc 2"/>
    <w:basedOn w:val="Normal"/>
    <w:next w:val="Normal"/>
    <w:autoRedefine/>
    <w:semiHidden/>
    <w:rsid w:val="00BF1811"/>
    <w:pPr>
      <w:ind w:left="220"/>
    </w:pPr>
  </w:style>
  <w:style w:type="paragraph" w:styleId="TOC8">
    <w:name w:val="toc 8"/>
    <w:basedOn w:val="Normal"/>
    <w:next w:val="Normal"/>
    <w:autoRedefine/>
    <w:semiHidden/>
    <w:rsid w:val="00BF1811"/>
    <w:pPr>
      <w:ind w:left="1540"/>
    </w:pPr>
  </w:style>
  <w:style w:type="paragraph" w:styleId="TOC3">
    <w:name w:val="toc 3"/>
    <w:basedOn w:val="Normal"/>
    <w:next w:val="Normal"/>
    <w:autoRedefine/>
    <w:semiHidden/>
    <w:rsid w:val="00BF1811"/>
    <w:pPr>
      <w:ind w:left="440"/>
    </w:pPr>
  </w:style>
  <w:style w:type="character" w:styleId="PageNumber">
    <w:name w:val="page number"/>
    <w:basedOn w:val="DefaultParagraphFont"/>
    <w:rsid w:val="00943E64"/>
  </w:style>
  <w:style w:type="paragraph" w:customStyle="1" w:styleId="StyleHeading2LightBlue">
    <w:name w:val="Style Heading 2 + Light Blue"/>
    <w:basedOn w:val="Heading2"/>
    <w:rsid w:val="00E35E1D"/>
    <w:pPr>
      <w:keepNext/>
      <w:tabs>
        <w:tab w:val="left" w:pos="0"/>
        <w:tab w:val="num" w:pos="686"/>
      </w:tabs>
      <w:overflowPunct w:val="0"/>
      <w:autoSpaceDE w:val="0"/>
      <w:autoSpaceDN w:val="0"/>
      <w:adjustRightInd w:val="0"/>
      <w:spacing w:after="120"/>
      <w:ind w:left="686"/>
      <w:textAlignment w:val="baseline"/>
    </w:pPr>
    <w:rPr>
      <w:rFonts w:cs="Times New Roman"/>
      <w:b/>
      <w:iCs w:val="0"/>
      <w:color w:val="3366FF"/>
      <w:sz w:val="24"/>
      <w:szCs w:val="20"/>
    </w:rPr>
  </w:style>
  <w:style w:type="paragraph" w:styleId="BodyTextIndent3">
    <w:name w:val="Body Text Indent 3"/>
    <w:basedOn w:val="Normal"/>
    <w:rsid w:val="00F60ADB"/>
    <w:pPr>
      <w:spacing w:after="120"/>
      <w:ind w:left="283"/>
    </w:pPr>
    <w:rPr>
      <w:sz w:val="16"/>
      <w:szCs w:val="16"/>
    </w:rPr>
  </w:style>
  <w:style w:type="paragraph" w:styleId="BlockText">
    <w:name w:val="Block Text"/>
    <w:basedOn w:val="Normal"/>
    <w:rsid w:val="00F60ADB"/>
    <w:pPr>
      <w:overflowPunct w:val="0"/>
      <w:autoSpaceDE w:val="0"/>
      <w:autoSpaceDN w:val="0"/>
      <w:adjustRightInd w:val="0"/>
      <w:spacing w:after="0"/>
      <w:ind w:left="113" w:right="113"/>
      <w:jc w:val="center"/>
      <w:textAlignment w:val="baseline"/>
    </w:pPr>
    <w:rPr>
      <w:rFonts w:cs="Arial"/>
      <w:sz w:val="20"/>
    </w:rPr>
  </w:style>
  <w:style w:type="paragraph" w:customStyle="1" w:styleId="PCSchedule1">
    <w:name w:val="PC Schedule 1"/>
    <w:basedOn w:val="Normal"/>
    <w:rsid w:val="00F60ADB"/>
    <w:pPr>
      <w:keepNext/>
      <w:numPr>
        <w:numId w:val="8"/>
      </w:numPr>
      <w:jc w:val="both"/>
      <w:outlineLvl w:val="0"/>
    </w:pPr>
    <w:rPr>
      <w:b/>
      <w:caps/>
    </w:rPr>
  </w:style>
  <w:style w:type="paragraph" w:customStyle="1" w:styleId="PCSchedule2">
    <w:name w:val="PC Schedule 2"/>
    <w:basedOn w:val="Normal"/>
    <w:rsid w:val="00F60ADB"/>
    <w:pPr>
      <w:numPr>
        <w:ilvl w:val="1"/>
        <w:numId w:val="8"/>
      </w:numPr>
      <w:jc w:val="both"/>
      <w:outlineLvl w:val="1"/>
    </w:pPr>
  </w:style>
  <w:style w:type="paragraph" w:customStyle="1" w:styleId="PCSchedule3">
    <w:name w:val="PC Schedule 3"/>
    <w:basedOn w:val="Normal"/>
    <w:rsid w:val="00F60ADB"/>
    <w:pPr>
      <w:numPr>
        <w:ilvl w:val="2"/>
        <w:numId w:val="8"/>
      </w:numPr>
      <w:jc w:val="both"/>
      <w:outlineLvl w:val="2"/>
    </w:pPr>
  </w:style>
  <w:style w:type="paragraph" w:customStyle="1" w:styleId="PCSchedule5">
    <w:name w:val="PC Schedule 5"/>
    <w:basedOn w:val="Normal"/>
    <w:rsid w:val="00F60ADB"/>
    <w:pPr>
      <w:numPr>
        <w:ilvl w:val="4"/>
        <w:numId w:val="8"/>
      </w:numPr>
      <w:tabs>
        <w:tab w:val="left" w:pos="2835"/>
      </w:tabs>
      <w:jc w:val="both"/>
      <w:outlineLvl w:val="4"/>
    </w:pPr>
  </w:style>
  <w:style w:type="paragraph" w:customStyle="1" w:styleId="PCScheduleInd2">
    <w:name w:val="PC Schedule Ind 2"/>
    <w:basedOn w:val="Normal"/>
    <w:rsid w:val="00F60ADB"/>
    <w:pPr>
      <w:numPr>
        <w:ilvl w:val="5"/>
        <w:numId w:val="8"/>
      </w:numPr>
      <w:jc w:val="both"/>
      <w:outlineLvl w:val="5"/>
    </w:pPr>
  </w:style>
  <w:style w:type="paragraph" w:customStyle="1" w:styleId="PCScheduleInd3">
    <w:name w:val="PC Schedule Ind 3"/>
    <w:basedOn w:val="Normal"/>
    <w:rsid w:val="00F60ADB"/>
    <w:pPr>
      <w:numPr>
        <w:ilvl w:val="6"/>
        <w:numId w:val="8"/>
      </w:numPr>
      <w:jc w:val="both"/>
      <w:outlineLvl w:val="6"/>
    </w:pPr>
  </w:style>
  <w:style w:type="paragraph" w:customStyle="1" w:styleId="PCScheduleInd4">
    <w:name w:val="PC Schedule Ind 4"/>
    <w:basedOn w:val="Normal"/>
    <w:rsid w:val="00F60ADB"/>
    <w:pPr>
      <w:numPr>
        <w:ilvl w:val="7"/>
        <w:numId w:val="8"/>
      </w:numPr>
      <w:jc w:val="both"/>
      <w:outlineLvl w:val="7"/>
    </w:pPr>
  </w:style>
  <w:style w:type="paragraph" w:customStyle="1" w:styleId="PCScheduleInd5">
    <w:name w:val="PC Schedule Ind 5"/>
    <w:basedOn w:val="Normal"/>
    <w:rsid w:val="00F60ADB"/>
    <w:pPr>
      <w:numPr>
        <w:ilvl w:val="8"/>
        <w:numId w:val="8"/>
      </w:numPr>
      <w:tabs>
        <w:tab w:val="left" w:pos="3686"/>
      </w:tabs>
      <w:jc w:val="both"/>
      <w:outlineLvl w:val="8"/>
    </w:pPr>
  </w:style>
  <w:style w:type="paragraph" w:customStyle="1" w:styleId="1">
    <w:name w:val="1."/>
    <w:basedOn w:val="Normal"/>
    <w:rsid w:val="00F60ADB"/>
    <w:pPr>
      <w:tabs>
        <w:tab w:val="left" w:pos="1440"/>
      </w:tabs>
      <w:spacing w:after="0"/>
      <w:ind w:left="864" w:hanging="864"/>
    </w:pPr>
    <w:rPr>
      <w:rFonts w:ascii="Times New Roman" w:hAnsi="Times New Roman"/>
      <w:b/>
      <w:i/>
      <w:sz w:val="24"/>
    </w:rPr>
  </w:style>
  <w:style w:type="paragraph" w:customStyle="1" w:styleId="Sectionheading">
    <w:name w:val="Section heading"/>
    <w:basedOn w:val="Normal"/>
    <w:rsid w:val="00F60ADB"/>
    <w:pPr>
      <w:suppressAutoHyphens/>
      <w:spacing w:after="0" w:line="360" w:lineRule="auto"/>
      <w:jc w:val="both"/>
    </w:pPr>
    <w:rPr>
      <w:rFonts w:ascii="Times New Roman" w:hAnsi="Times New Roman"/>
      <w:b/>
      <w:sz w:val="24"/>
      <w:u w:val="single"/>
    </w:rPr>
  </w:style>
  <w:style w:type="paragraph" w:customStyle="1" w:styleId="Conditionhead">
    <w:name w:val="Condition head"/>
    <w:basedOn w:val="Normal"/>
    <w:rsid w:val="00F60ADB"/>
    <w:pPr>
      <w:tabs>
        <w:tab w:val="left" w:pos="-720"/>
      </w:tabs>
      <w:suppressAutoHyphens/>
      <w:spacing w:after="0" w:line="360" w:lineRule="auto"/>
      <w:jc w:val="both"/>
    </w:pPr>
    <w:rPr>
      <w:rFonts w:ascii="Times New Roman" w:hAnsi="Times New Roman"/>
      <w:b/>
      <w:sz w:val="24"/>
    </w:rPr>
  </w:style>
  <w:style w:type="paragraph" w:customStyle="1" w:styleId="MarginText">
    <w:name w:val="Margin Text"/>
    <w:basedOn w:val="BodyText"/>
    <w:rsid w:val="00F60ADB"/>
    <w:pPr>
      <w:numPr>
        <w:ilvl w:val="0"/>
        <w:numId w:val="0"/>
      </w:numPr>
      <w:overflowPunct w:val="0"/>
      <w:autoSpaceDE w:val="0"/>
      <w:autoSpaceDN w:val="0"/>
      <w:adjustRightInd w:val="0"/>
      <w:spacing w:line="360" w:lineRule="auto"/>
      <w:jc w:val="both"/>
      <w:textAlignment w:val="baseline"/>
      <w:outlineLvl w:val="9"/>
    </w:pPr>
    <w:rPr>
      <w:rFonts w:ascii="Times New Roman" w:hAnsi="Times New Roman"/>
      <w:sz w:val="22"/>
    </w:rPr>
  </w:style>
  <w:style w:type="paragraph" w:customStyle="1" w:styleId="A1">
    <w:name w:val="A1"/>
    <w:basedOn w:val="Normal"/>
    <w:rsid w:val="00F60ADB"/>
    <w:pPr>
      <w:keepNext/>
      <w:numPr>
        <w:numId w:val="9"/>
      </w:numPr>
      <w:spacing w:before="120" w:after="120"/>
      <w:jc w:val="both"/>
      <w:outlineLvl w:val="0"/>
    </w:pPr>
    <w:rPr>
      <w:rFonts w:ascii="Frutiger LT Std 45 Light" w:hAnsi="Frutiger LT Std 45 Light"/>
      <w:b/>
      <w:caps/>
      <w:u w:val="single"/>
    </w:rPr>
  </w:style>
  <w:style w:type="paragraph" w:customStyle="1" w:styleId="A2">
    <w:name w:val="A2"/>
    <w:basedOn w:val="Normal"/>
    <w:rsid w:val="00F60ADB"/>
    <w:pPr>
      <w:numPr>
        <w:ilvl w:val="1"/>
        <w:numId w:val="9"/>
      </w:numPr>
      <w:spacing w:before="120" w:after="120"/>
      <w:jc w:val="both"/>
      <w:outlineLvl w:val="1"/>
    </w:pPr>
    <w:rPr>
      <w:rFonts w:ascii="Frutiger LT Std 45 Light" w:hAnsi="Frutiger LT Std 45 Light"/>
    </w:rPr>
  </w:style>
  <w:style w:type="paragraph" w:customStyle="1" w:styleId="A3">
    <w:name w:val="A3"/>
    <w:basedOn w:val="Normal"/>
    <w:rsid w:val="00F60ADB"/>
    <w:pPr>
      <w:numPr>
        <w:ilvl w:val="2"/>
        <w:numId w:val="9"/>
      </w:numPr>
      <w:spacing w:before="120" w:after="120"/>
      <w:jc w:val="both"/>
      <w:outlineLvl w:val="2"/>
    </w:pPr>
    <w:rPr>
      <w:rFonts w:ascii="Frutiger LT Std 45 Light" w:hAnsi="Frutiger LT Std 45 Light"/>
    </w:rPr>
  </w:style>
  <w:style w:type="paragraph" w:customStyle="1" w:styleId="A4">
    <w:name w:val="A4"/>
    <w:basedOn w:val="Normal"/>
    <w:rsid w:val="00F60ADB"/>
    <w:pPr>
      <w:numPr>
        <w:ilvl w:val="3"/>
        <w:numId w:val="9"/>
      </w:numPr>
      <w:spacing w:before="120" w:after="120"/>
      <w:jc w:val="both"/>
      <w:outlineLvl w:val="3"/>
    </w:pPr>
    <w:rPr>
      <w:rFonts w:ascii="Frutiger LT Std 45 Light" w:hAnsi="Frutiger LT Std 45 Light"/>
    </w:rPr>
  </w:style>
  <w:style w:type="paragraph" w:customStyle="1" w:styleId="A5">
    <w:name w:val="A5"/>
    <w:basedOn w:val="Normal"/>
    <w:rsid w:val="00F60ADB"/>
    <w:pPr>
      <w:numPr>
        <w:ilvl w:val="4"/>
        <w:numId w:val="9"/>
      </w:numPr>
      <w:spacing w:before="120" w:after="120"/>
      <w:jc w:val="both"/>
      <w:outlineLvl w:val="4"/>
    </w:pPr>
  </w:style>
  <w:style w:type="character" w:customStyle="1" w:styleId="CrossReference">
    <w:name w:val="Cross Reference"/>
    <w:rsid w:val="00F60ADB"/>
    <w:rPr>
      <w:rFonts w:ascii="Arial" w:hAnsi="Arial"/>
      <w:b/>
      <w:color w:val="auto"/>
      <w:sz w:val="24"/>
      <w:u w:val="none"/>
    </w:rPr>
  </w:style>
  <w:style w:type="paragraph" w:customStyle="1" w:styleId="Level9">
    <w:name w:val="Level 9"/>
    <w:basedOn w:val="Normal"/>
    <w:rsid w:val="00F60ADB"/>
    <w:pPr>
      <w:tabs>
        <w:tab w:val="num" w:pos="7560"/>
      </w:tabs>
      <w:ind w:left="360" w:hanging="360"/>
      <w:jc w:val="both"/>
    </w:pPr>
    <w:rPr>
      <w:rFonts w:ascii="Times New Roman" w:hAnsi="Times New Roman"/>
      <w:sz w:val="23"/>
    </w:rPr>
  </w:style>
  <w:style w:type="paragraph" w:customStyle="1" w:styleId="bodtext1">
    <w:name w:val="bodtext1"/>
    <w:basedOn w:val="Normal"/>
    <w:rsid w:val="00F60ADB"/>
    <w:pPr>
      <w:tabs>
        <w:tab w:val="left" w:pos="-1440"/>
        <w:tab w:val="left" w:pos="720"/>
        <w:tab w:val="left" w:pos="7920"/>
      </w:tabs>
      <w:overflowPunct w:val="0"/>
      <w:autoSpaceDE w:val="0"/>
      <w:autoSpaceDN w:val="0"/>
      <w:adjustRightInd w:val="0"/>
      <w:spacing w:before="240" w:after="60"/>
      <w:ind w:left="720"/>
      <w:textAlignment w:val="baseline"/>
    </w:pPr>
    <w:rPr>
      <w:color w:val="000000"/>
      <w:sz w:val="24"/>
    </w:rPr>
  </w:style>
  <w:style w:type="paragraph" w:styleId="BalloonText">
    <w:name w:val="Balloon Text"/>
    <w:basedOn w:val="Normal"/>
    <w:semiHidden/>
    <w:rsid w:val="005819D8"/>
    <w:rPr>
      <w:rFonts w:ascii="Tahoma" w:hAnsi="Tahoma" w:cs="Tahoma"/>
      <w:sz w:val="16"/>
      <w:szCs w:val="16"/>
    </w:rPr>
  </w:style>
  <w:style w:type="paragraph" w:customStyle="1" w:styleId="figure">
    <w:name w:val="figure"/>
    <w:basedOn w:val="Heading3"/>
    <w:rsid w:val="00543DE0"/>
    <w:pPr>
      <w:numPr>
        <w:ilvl w:val="6"/>
        <w:numId w:val="13"/>
      </w:numPr>
      <w:tabs>
        <w:tab w:val="left" w:pos="0"/>
      </w:tabs>
      <w:overflowPunct w:val="0"/>
      <w:autoSpaceDE w:val="0"/>
      <w:autoSpaceDN w:val="0"/>
      <w:adjustRightInd w:val="0"/>
      <w:spacing w:after="120"/>
      <w:jc w:val="right"/>
      <w:textAlignment w:val="baseline"/>
    </w:pPr>
    <w:rPr>
      <w:rFonts w:cs="Times New Roman"/>
      <w:i/>
      <w:color w:val="000080"/>
      <w:sz w:val="18"/>
      <w:szCs w:val="20"/>
    </w:rPr>
  </w:style>
  <w:style w:type="paragraph" w:customStyle="1" w:styleId="00-Normal-BB">
    <w:name w:val="00-Normal-BB"/>
    <w:link w:val="00-Normal-BBChar"/>
    <w:rsid w:val="00543DE0"/>
    <w:pPr>
      <w:jc w:val="both"/>
    </w:pPr>
    <w:rPr>
      <w:rFonts w:ascii="Arial" w:hAnsi="Arial"/>
      <w:sz w:val="22"/>
      <w:lang w:eastAsia="en-US"/>
    </w:rPr>
  </w:style>
  <w:style w:type="paragraph" w:customStyle="1" w:styleId="01-NormInd1-BB">
    <w:name w:val="01-NormInd1-BB"/>
    <w:basedOn w:val="00-Normal-BB"/>
    <w:rsid w:val="00543DE0"/>
    <w:pPr>
      <w:ind w:left="720"/>
    </w:pPr>
  </w:style>
  <w:style w:type="character" w:customStyle="1" w:styleId="00-Normal-BBChar">
    <w:name w:val="00-Normal-BB Char"/>
    <w:link w:val="00-Normal-BB"/>
    <w:rsid w:val="00543DE0"/>
    <w:rPr>
      <w:rFonts w:ascii="Arial" w:hAnsi="Arial"/>
      <w:sz w:val="22"/>
      <w:lang w:val="en-GB" w:eastAsia="en-US" w:bidi="ar-SA"/>
    </w:rPr>
  </w:style>
  <w:style w:type="paragraph" w:styleId="NormalWeb">
    <w:name w:val="Normal (Web)"/>
    <w:basedOn w:val="Normal"/>
    <w:rsid w:val="00037C5D"/>
    <w:pPr>
      <w:spacing w:before="100" w:beforeAutospacing="1" w:after="100" w:afterAutospacing="1"/>
    </w:pPr>
    <w:rPr>
      <w:rFonts w:ascii="Arial Unicode MS" w:eastAsia="Arial Unicode MS" w:hAnsi="Arial Unicode MS" w:cs="Arial Unicode MS"/>
      <w:sz w:val="24"/>
      <w:szCs w:val="24"/>
    </w:rPr>
  </w:style>
  <w:style w:type="character" w:styleId="CommentReference">
    <w:name w:val="annotation reference"/>
    <w:rsid w:val="00DA1499"/>
    <w:rPr>
      <w:sz w:val="16"/>
      <w:szCs w:val="16"/>
    </w:rPr>
  </w:style>
  <w:style w:type="paragraph" w:styleId="CommentText">
    <w:name w:val="annotation text"/>
    <w:basedOn w:val="Normal"/>
    <w:link w:val="CommentTextChar"/>
    <w:rsid w:val="00DA1499"/>
    <w:rPr>
      <w:sz w:val="20"/>
    </w:rPr>
  </w:style>
  <w:style w:type="character" w:customStyle="1" w:styleId="CommentTextChar">
    <w:name w:val="Comment Text Char"/>
    <w:link w:val="CommentText"/>
    <w:rsid w:val="00DA1499"/>
    <w:rPr>
      <w:rFonts w:ascii="Arial" w:hAnsi="Arial"/>
      <w:lang w:val="en-GB"/>
    </w:rPr>
  </w:style>
  <w:style w:type="paragraph" w:styleId="CommentSubject">
    <w:name w:val="annotation subject"/>
    <w:basedOn w:val="CommentText"/>
    <w:next w:val="CommentText"/>
    <w:link w:val="CommentSubjectChar"/>
    <w:rsid w:val="00DA1499"/>
    <w:rPr>
      <w:b/>
      <w:bCs/>
    </w:rPr>
  </w:style>
  <w:style w:type="character" w:customStyle="1" w:styleId="CommentSubjectChar">
    <w:name w:val="Comment Subject Char"/>
    <w:link w:val="CommentSubject"/>
    <w:rsid w:val="00DA1499"/>
    <w:rPr>
      <w:rFonts w:ascii="Arial" w:hAnsi="Arial"/>
      <w:b/>
      <w:bCs/>
      <w:lang w:val="en-GB"/>
    </w:rPr>
  </w:style>
  <w:style w:type="paragraph" w:styleId="FootnoteText">
    <w:name w:val="footnote text"/>
    <w:basedOn w:val="Normal"/>
    <w:link w:val="FootnoteTextChar"/>
    <w:rsid w:val="00713151"/>
    <w:rPr>
      <w:sz w:val="20"/>
    </w:rPr>
  </w:style>
  <w:style w:type="character" w:customStyle="1" w:styleId="FootnoteTextChar">
    <w:name w:val="Footnote Text Char"/>
    <w:link w:val="FootnoteText"/>
    <w:rsid w:val="00713151"/>
    <w:rPr>
      <w:rFonts w:ascii="Arial" w:hAnsi="Arial"/>
      <w:lang w:val="en-GB"/>
    </w:rPr>
  </w:style>
  <w:style w:type="character" w:styleId="FootnoteReference">
    <w:name w:val="footnote reference"/>
    <w:rsid w:val="00713151"/>
    <w:rPr>
      <w:vertAlign w:val="superscript"/>
    </w:rPr>
  </w:style>
  <w:style w:type="paragraph" w:styleId="NoSpacing">
    <w:name w:val="No Spacing"/>
    <w:uiPriority w:val="1"/>
    <w:qFormat/>
    <w:rsid w:val="00C357A2"/>
    <w:rPr>
      <w:rFonts w:ascii="Calibri" w:eastAsia="Calibri" w:hAnsi="Calibri"/>
      <w:sz w:val="22"/>
      <w:szCs w:val="22"/>
      <w:lang w:eastAsia="en-US"/>
    </w:rPr>
  </w:style>
  <w:style w:type="table" w:styleId="TableGrid8">
    <w:name w:val="Table Grid 8"/>
    <w:basedOn w:val="TableNormal"/>
    <w:rsid w:val="00CE6F20"/>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ghtList-Accent5">
    <w:name w:val="Light List Accent 5"/>
    <w:basedOn w:val="TableNormal"/>
    <w:uiPriority w:val="61"/>
    <w:rsid w:val="00CE6F20"/>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1">
    <w:name w:val="Light List Accent 1"/>
    <w:basedOn w:val="TableNormal"/>
    <w:uiPriority w:val="61"/>
    <w:rsid w:val="00CE6F2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al1">
    <w:name w:val="Normal1"/>
    <w:rsid w:val="00163196"/>
    <w:rPr>
      <w:color w:val="000000"/>
      <w:sz w:val="24"/>
      <w:szCs w:val="24"/>
      <w:lang w:eastAsia="en-US"/>
    </w:rPr>
  </w:style>
  <w:style w:type="paragraph" w:styleId="ListParagraph">
    <w:name w:val="List Paragraph"/>
    <w:basedOn w:val="Normal"/>
    <w:uiPriority w:val="34"/>
    <w:qFormat/>
    <w:rsid w:val="00584788"/>
    <w:pPr>
      <w:ind w:left="720"/>
    </w:pPr>
  </w:style>
  <w:style w:type="character" w:styleId="FollowedHyperlink">
    <w:name w:val="FollowedHyperlink"/>
    <w:rsid w:val="00CC715F"/>
    <w:rPr>
      <w:color w:val="954F72"/>
      <w:u w:val="single"/>
    </w:rPr>
  </w:style>
  <w:style w:type="paragraph" w:customStyle="1" w:styleId="Default">
    <w:name w:val="Default"/>
    <w:rsid w:val="00AD1AD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805494">
      <w:bodyDiv w:val="1"/>
      <w:marLeft w:val="0"/>
      <w:marRight w:val="0"/>
      <w:marTop w:val="0"/>
      <w:marBottom w:val="0"/>
      <w:divBdr>
        <w:top w:val="none" w:sz="0" w:space="0" w:color="auto"/>
        <w:left w:val="none" w:sz="0" w:space="0" w:color="auto"/>
        <w:bottom w:val="none" w:sz="0" w:space="0" w:color="auto"/>
        <w:right w:val="none" w:sz="0" w:space="0" w:color="auto"/>
      </w:divBdr>
    </w:div>
    <w:div w:id="663625983">
      <w:bodyDiv w:val="1"/>
      <w:marLeft w:val="0"/>
      <w:marRight w:val="0"/>
      <w:marTop w:val="0"/>
      <w:marBottom w:val="0"/>
      <w:divBdr>
        <w:top w:val="none" w:sz="0" w:space="0" w:color="auto"/>
        <w:left w:val="none" w:sz="0" w:space="0" w:color="auto"/>
        <w:bottom w:val="none" w:sz="0" w:space="0" w:color="auto"/>
        <w:right w:val="none" w:sz="0" w:space="0" w:color="auto"/>
      </w:divBdr>
    </w:div>
    <w:div w:id="728916599">
      <w:bodyDiv w:val="1"/>
      <w:marLeft w:val="0"/>
      <w:marRight w:val="0"/>
      <w:marTop w:val="0"/>
      <w:marBottom w:val="0"/>
      <w:divBdr>
        <w:top w:val="none" w:sz="0" w:space="0" w:color="auto"/>
        <w:left w:val="none" w:sz="0" w:space="0" w:color="auto"/>
        <w:bottom w:val="none" w:sz="0" w:space="0" w:color="auto"/>
        <w:right w:val="none" w:sz="0" w:space="0" w:color="auto"/>
      </w:divBdr>
    </w:div>
    <w:div w:id="751701878">
      <w:bodyDiv w:val="1"/>
      <w:marLeft w:val="0"/>
      <w:marRight w:val="0"/>
      <w:marTop w:val="0"/>
      <w:marBottom w:val="0"/>
      <w:divBdr>
        <w:top w:val="none" w:sz="0" w:space="0" w:color="auto"/>
        <w:left w:val="none" w:sz="0" w:space="0" w:color="auto"/>
        <w:bottom w:val="none" w:sz="0" w:space="0" w:color="auto"/>
        <w:right w:val="none" w:sz="0" w:space="0" w:color="auto"/>
      </w:divBdr>
    </w:div>
    <w:div w:id="870263448">
      <w:bodyDiv w:val="1"/>
      <w:marLeft w:val="0"/>
      <w:marRight w:val="0"/>
      <w:marTop w:val="0"/>
      <w:marBottom w:val="0"/>
      <w:divBdr>
        <w:top w:val="none" w:sz="0" w:space="0" w:color="auto"/>
        <w:left w:val="none" w:sz="0" w:space="0" w:color="auto"/>
        <w:bottom w:val="none" w:sz="0" w:space="0" w:color="auto"/>
        <w:right w:val="none" w:sz="0" w:space="0" w:color="auto"/>
      </w:divBdr>
    </w:div>
    <w:div w:id="154298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oods1@scilly.gov.uk"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Goods1@Scilly.gov.uk" TargetMode="External"/><Relationship Id="rId17" Type="http://schemas.openxmlformats.org/officeDocument/2006/relationships/hyperlink" Target="https://www.islesofscilly-travel.co.uk/islander-news-and-booking/freight-information/"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Goods1@scilly.gov.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lly.gov.uk"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Goods1@scilly.gov.uk" TargetMode="External"/><Relationship Id="rId23" Type="http://schemas.openxmlformats.org/officeDocument/2006/relationships/footer" Target="footer3.xml"/><Relationship Id="rId10" Type="http://schemas.openxmlformats.org/officeDocument/2006/relationships/hyperlink" Target="http://www.scilly.gov.uk/business-licensing/contracts/current-%20%20%20%20contract-opportuniti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uk/contracts-finder" TargetMode="External"/><Relationship Id="rId14" Type="http://schemas.openxmlformats.org/officeDocument/2006/relationships/hyperlink" Target="mailto:Goods1@scilly.gov.uk"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F0DD6-3D6F-4A58-BB04-BA0FE6589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8100</Words>
  <Characters>43289</Characters>
  <Application>Microsoft Office Word</Application>
  <DocSecurity>0</DocSecurity>
  <Lines>360</Lines>
  <Paragraphs>102</Paragraphs>
  <ScaleCrop>false</ScaleCrop>
  <HeadingPairs>
    <vt:vector size="2" baseType="variant">
      <vt:variant>
        <vt:lpstr>Title</vt:lpstr>
      </vt:variant>
      <vt:variant>
        <vt:i4>1</vt:i4>
      </vt:variant>
    </vt:vector>
  </HeadingPairs>
  <TitlesOfParts>
    <vt:vector size="1" baseType="lpstr">
      <vt:lpstr/>
    </vt:vector>
  </TitlesOfParts>
  <Company>84 Hartington Grove</Company>
  <LinksUpToDate>false</LinksUpToDate>
  <CharactersWithSpaces>51287</CharactersWithSpaces>
  <SharedDoc>false</SharedDoc>
  <HLinks>
    <vt:vector size="84" baseType="variant">
      <vt:variant>
        <vt:i4>4915305</vt:i4>
      </vt:variant>
      <vt:variant>
        <vt:i4>60</vt:i4>
      </vt:variant>
      <vt:variant>
        <vt:i4>0</vt:i4>
      </vt:variant>
      <vt:variant>
        <vt:i4>5</vt:i4>
      </vt:variant>
      <vt:variant>
        <vt:lpwstr>mailto:Goods1@scilly.gov.uk</vt:lpwstr>
      </vt:variant>
      <vt:variant>
        <vt:lpwstr/>
      </vt:variant>
      <vt:variant>
        <vt:i4>4915305</vt:i4>
      </vt:variant>
      <vt:variant>
        <vt:i4>57</vt:i4>
      </vt:variant>
      <vt:variant>
        <vt:i4>0</vt:i4>
      </vt:variant>
      <vt:variant>
        <vt:i4>5</vt:i4>
      </vt:variant>
      <vt:variant>
        <vt:lpwstr>mailto:Goods1@scilly.gov.uk</vt:lpwstr>
      </vt:variant>
      <vt:variant>
        <vt:lpwstr/>
      </vt:variant>
      <vt:variant>
        <vt:i4>4915305</vt:i4>
      </vt:variant>
      <vt:variant>
        <vt:i4>54</vt:i4>
      </vt:variant>
      <vt:variant>
        <vt:i4>0</vt:i4>
      </vt:variant>
      <vt:variant>
        <vt:i4>5</vt:i4>
      </vt:variant>
      <vt:variant>
        <vt:lpwstr>mailto:Goods1@scilly.gov.uk</vt:lpwstr>
      </vt:variant>
      <vt:variant>
        <vt:lpwstr/>
      </vt:variant>
      <vt:variant>
        <vt:i4>4915305</vt:i4>
      </vt:variant>
      <vt:variant>
        <vt:i4>51</vt:i4>
      </vt:variant>
      <vt:variant>
        <vt:i4>0</vt:i4>
      </vt:variant>
      <vt:variant>
        <vt:i4>5</vt:i4>
      </vt:variant>
      <vt:variant>
        <vt:lpwstr>mailto:Goods1@scilly.gov.uk</vt:lpwstr>
      </vt:variant>
      <vt:variant>
        <vt:lpwstr/>
      </vt:variant>
      <vt:variant>
        <vt:i4>4915305</vt:i4>
      </vt:variant>
      <vt:variant>
        <vt:i4>48</vt:i4>
      </vt:variant>
      <vt:variant>
        <vt:i4>0</vt:i4>
      </vt:variant>
      <vt:variant>
        <vt:i4>5</vt:i4>
      </vt:variant>
      <vt:variant>
        <vt:lpwstr>mailto:Goods1@Scilly.gov.uk</vt:lpwstr>
      </vt:variant>
      <vt:variant>
        <vt:lpwstr/>
      </vt:variant>
      <vt:variant>
        <vt:i4>5832770</vt:i4>
      </vt:variant>
      <vt:variant>
        <vt:i4>45</vt:i4>
      </vt:variant>
      <vt:variant>
        <vt:i4>0</vt:i4>
      </vt:variant>
      <vt:variant>
        <vt:i4>5</vt:i4>
      </vt:variant>
      <vt:variant>
        <vt:lpwstr>http://www.scilly.gov.uk/</vt:lpwstr>
      </vt:variant>
      <vt:variant>
        <vt:lpwstr/>
      </vt:variant>
      <vt:variant>
        <vt:i4>1703991</vt:i4>
      </vt:variant>
      <vt:variant>
        <vt:i4>38</vt:i4>
      </vt:variant>
      <vt:variant>
        <vt:i4>0</vt:i4>
      </vt:variant>
      <vt:variant>
        <vt:i4>5</vt:i4>
      </vt:variant>
      <vt:variant>
        <vt:lpwstr/>
      </vt:variant>
      <vt:variant>
        <vt:lpwstr>_Toc226970466</vt:lpwstr>
      </vt:variant>
      <vt:variant>
        <vt:i4>1703991</vt:i4>
      </vt:variant>
      <vt:variant>
        <vt:i4>32</vt:i4>
      </vt:variant>
      <vt:variant>
        <vt:i4>0</vt:i4>
      </vt:variant>
      <vt:variant>
        <vt:i4>5</vt:i4>
      </vt:variant>
      <vt:variant>
        <vt:lpwstr/>
      </vt:variant>
      <vt:variant>
        <vt:lpwstr>_Toc226970465</vt:lpwstr>
      </vt:variant>
      <vt:variant>
        <vt:i4>1703991</vt:i4>
      </vt:variant>
      <vt:variant>
        <vt:i4>26</vt:i4>
      </vt:variant>
      <vt:variant>
        <vt:i4>0</vt:i4>
      </vt:variant>
      <vt:variant>
        <vt:i4>5</vt:i4>
      </vt:variant>
      <vt:variant>
        <vt:lpwstr/>
      </vt:variant>
      <vt:variant>
        <vt:lpwstr>_Toc226970464</vt:lpwstr>
      </vt:variant>
      <vt:variant>
        <vt:i4>1703991</vt:i4>
      </vt:variant>
      <vt:variant>
        <vt:i4>20</vt:i4>
      </vt:variant>
      <vt:variant>
        <vt:i4>0</vt:i4>
      </vt:variant>
      <vt:variant>
        <vt:i4>5</vt:i4>
      </vt:variant>
      <vt:variant>
        <vt:lpwstr/>
      </vt:variant>
      <vt:variant>
        <vt:lpwstr>_Toc226970463</vt:lpwstr>
      </vt:variant>
      <vt:variant>
        <vt:i4>1703991</vt:i4>
      </vt:variant>
      <vt:variant>
        <vt:i4>14</vt:i4>
      </vt:variant>
      <vt:variant>
        <vt:i4>0</vt:i4>
      </vt:variant>
      <vt:variant>
        <vt:i4>5</vt:i4>
      </vt:variant>
      <vt:variant>
        <vt:lpwstr/>
      </vt:variant>
      <vt:variant>
        <vt:lpwstr>_Toc226970462</vt:lpwstr>
      </vt:variant>
      <vt:variant>
        <vt:i4>1703991</vt:i4>
      </vt:variant>
      <vt:variant>
        <vt:i4>8</vt:i4>
      </vt:variant>
      <vt:variant>
        <vt:i4>0</vt:i4>
      </vt:variant>
      <vt:variant>
        <vt:i4>5</vt:i4>
      </vt:variant>
      <vt:variant>
        <vt:lpwstr/>
      </vt:variant>
      <vt:variant>
        <vt:lpwstr>_Toc226970461</vt:lpwstr>
      </vt:variant>
      <vt:variant>
        <vt:i4>4587586</vt:i4>
      </vt:variant>
      <vt:variant>
        <vt:i4>3</vt:i4>
      </vt:variant>
      <vt:variant>
        <vt:i4>0</vt:i4>
      </vt:variant>
      <vt:variant>
        <vt:i4>5</vt:i4>
      </vt:variant>
      <vt:variant>
        <vt:lpwstr>http://www.scilly.gov.uk/business-licensing/contracts/current-    contract-opportunities</vt:lpwstr>
      </vt:variant>
      <vt:variant>
        <vt:lpwstr/>
      </vt:variant>
      <vt:variant>
        <vt:i4>6291493</vt:i4>
      </vt:variant>
      <vt:variant>
        <vt:i4>0</vt:i4>
      </vt:variant>
      <vt:variant>
        <vt:i4>0</vt:i4>
      </vt:variant>
      <vt:variant>
        <vt:i4>5</vt:i4>
      </vt:variant>
      <vt:variant>
        <vt:lpwstr>https://www.gov.uk/contracts-finder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Roder Rob</cp:lastModifiedBy>
  <cp:revision>3</cp:revision>
  <cp:lastPrinted>2014-05-20T16:56:00Z</cp:lastPrinted>
  <dcterms:created xsi:type="dcterms:W3CDTF">2018-07-24T07:40:00Z</dcterms:created>
  <dcterms:modified xsi:type="dcterms:W3CDTF">2018-07-25T14:30:00Z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